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8AB" w:rsidRDefault="006418AB" w:rsidP="00A2383A">
      <w:pPr>
        <w:pStyle w:val="awTB00chTitle"/>
        <w:keepNext/>
        <w:spacing w:before="1320" w:after="480"/>
        <w:rPr>
          <w:sz w:val="24"/>
        </w:rPr>
      </w:pPr>
      <w:r>
        <w:rPr>
          <w:sz w:val="44"/>
        </w:rPr>
        <w:t>Chapter 2</w:t>
      </w:r>
      <w:r w:rsidR="0072607B">
        <w:br/>
      </w:r>
      <w:proofErr w:type="gramStart"/>
      <w:r w:rsidR="0072607B">
        <w:t>The</w:t>
      </w:r>
      <w:proofErr w:type="gramEnd"/>
      <w:r w:rsidR="0072607B">
        <w:t xml:space="preserve"> Financial-</w:t>
      </w:r>
      <w:r>
        <w:t>Market Environment</w:t>
      </w:r>
    </w:p>
    <w:p w:rsidR="006418AB" w:rsidRDefault="006418AB" w:rsidP="00BE6800">
      <w:pPr>
        <w:pStyle w:val="awTB01questionHead"/>
        <w:spacing w:before="480" w:after="240"/>
        <w:ind w:left="432" w:hanging="432"/>
      </w:pPr>
      <w:r>
        <w:sym w:font="Wingdings" w:char="F06E"/>
      </w:r>
      <w:r w:rsidR="00D7334E">
        <w:tab/>
      </w:r>
      <w:r>
        <w:t>Instructor’s Resources</w:t>
      </w:r>
    </w:p>
    <w:p w:rsidR="006418AB" w:rsidRDefault="0020744C" w:rsidP="00BE6800">
      <w:pPr>
        <w:pStyle w:val="H2"/>
        <w:keepNext w:val="0"/>
        <w:spacing w:before="0"/>
        <w:ind w:left="432"/>
      </w:pPr>
      <w:r>
        <w:t xml:space="preserve">Chapter </w:t>
      </w:r>
      <w:r w:rsidR="006418AB">
        <w:t>Overview</w:t>
      </w:r>
    </w:p>
    <w:p w:rsidR="0020744C" w:rsidRDefault="0020744C" w:rsidP="00BE6800">
      <w:pPr>
        <w:pStyle w:val="T1"/>
        <w:keepNext w:val="0"/>
        <w:ind w:left="432"/>
      </w:pPr>
      <w:r>
        <w:t>This chapter provides an overview of the institutional framework for channeling funds from net savers to net borrowers</w:t>
      </w:r>
      <w:r w:rsidR="00D7334E">
        <w:t xml:space="preserve">. </w:t>
      </w:r>
      <w:r>
        <w:t>The discussion begins with three basic types of financial institutions</w:t>
      </w:r>
      <w:r w:rsidR="00946907">
        <w:t>—</w:t>
      </w:r>
      <w:r>
        <w:t>commercial banks, investment banks, and the shadow-banking system</w:t>
      </w:r>
      <w:r w:rsidR="00D7334E">
        <w:t xml:space="preserve">. </w:t>
      </w:r>
      <w:r w:rsidR="00394277">
        <w:t xml:space="preserve">Financial markets more broadly are then introduced </w:t>
      </w:r>
      <w:r w:rsidR="00777073">
        <w:t>along with the distinction between (</w:t>
      </w:r>
      <w:proofErr w:type="spellStart"/>
      <w:r w:rsidR="00777073">
        <w:t>i</w:t>
      </w:r>
      <w:proofErr w:type="spellEnd"/>
      <w:r w:rsidR="00777073">
        <w:t xml:space="preserve">) </w:t>
      </w:r>
      <w:r w:rsidR="00394277">
        <w:t xml:space="preserve">money </w:t>
      </w:r>
      <w:r w:rsidR="00777073">
        <w:t>and c</w:t>
      </w:r>
      <w:r w:rsidR="00394277">
        <w:t xml:space="preserve">apital markets and </w:t>
      </w:r>
      <w:r w:rsidR="00777073">
        <w:t xml:space="preserve">(ii) </w:t>
      </w:r>
      <w:r w:rsidR="00394277">
        <w:t xml:space="preserve">primary </w:t>
      </w:r>
      <w:r w:rsidR="00777073">
        <w:t xml:space="preserve">and </w:t>
      </w:r>
      <w:r w:rsidR="00394277">
        <w:t>secondary markets</w:t>
      </w:r>
      <w:r w:rsidR="00D7334E">
        <w:t xml:space="preserve">. </w:t>
      </w:r>
      <w:r w:rsidR="00777073">
        <w:t>C</w:t>
      </w:r>
      <w:r w:rsidR="00FD145D">
        <w:t xml:space="preserve">onsiderable attention is </w:t>
      </w:r>
      <w:r w:rsidR="00777073">
        <w:t xml:space="preserve">also </w:t>
      </w:r>
      <w:r w:rsidR="00FD145D">
        <w:t>focused on the oft-misunderstood topic of “efficient markets.”</w:t>
      </w:r>
      <w:r w:rsidR="00946907">
        <w:t xml:space="preserve"> </w:t>
      </w:r>
      <w:r w:rsidR="00394277">
        <w:t xml:space="preserve">In the </w:t>
      </w:r>
      <w:r w:rsidR="00AC63EA">
        <w:t xml:space="preserve">capital-markets </w:t>
      </w:r>
      <w:r w:rsidR="00777073">
        <w:t>discussion</w:t>
      </w:r>
      <w:r w:rsidR="00394277">
        <w:t>, the step</w:t>
      </w:r>
      <w:r w:rsidR="00FC70F0">
        <w:t xml:space="preserve">-by-step process for </w:t>
      </w:r>
      <w:r w:rsidR="00394277">
        <w:t xml:space="preserve">Initial Public Offerings of common stock </w:t>
      </w:r>
      <w:r w:rsidR="00AC63EA">
        <w:t xml:space="preserve">is described </w:t>
      </w:r>
      <w:r w:rsidR="00394277">
        <w:t xml:space="preserve">to provide </w:t>
      </w:r>
      <w:r w:rsidR="00FD145D">
        <w:t xml:space="preserve">a </w:t>
      </w:r>
      <w:r w:rsidR="00394277">
        <w:t xml:space="preserve">real-world example of </w:t>
      </w:r>
      <w:r w:rsidR="00FD145D">
        <w:t xml:space="preserve">funds </w:t>
      </w:r>
      <w:r w:rsidR="00C75766">
        <w:t xml:space="preserve">travelling </w:t>
      </w:r>
      <w:r w:rsidR="00FD145D">
        <w:t xml:space="preserve">from net savers to net borrowers and </w:t>
      </w:r>
      <w:r w:rsidR="00FC70F0">
        <w:t xml:space="preserve">illustrate </w:t>
      </w:r>
      <w:r w:rsidR="00FD145D">
        <w:t>the role investment bankers</w:t>
      </w:r>
      <w:r w:rsidR="00C30C42">
        <w:t xml:space="preserve"> play</w:t>
      </w:r>
      <w:r w:rsidR="00FD145D">
        <w:t xml:space="preserve"> in that </w:t>
      </w:r>
      <w:r w:rsidR="00C75766">
        <w:t>journey</w:t>
      </w:r>
      <w:r w:rsidR="00D7334E">
        <w:t xml:space="preserve">. </w:t>
      </w:r>
      <w:r w:rsidR="00FD145D">
        <w:t xml:space="preserve">Next, key </w:t>
      </w:r>
      <w:r w:rsidR="00FC70F0">
        <w:t>features</w:t>
      </w:r>
      <w:r w:rsidR="00FD145D">
        <w:t xml:space="preserve"> of U.S. </w:t>
      </w:r>
      <w:r w:rsidR="00FC70F0">
        <w:t>financial regulation</w:t>
      </w:r>
      <w:r w:rsidR="00946907">
        <w:t>—</w:t>
      </w:r>
      <w:r w:rsidR="00FD145D">
        <w:t>deposit insurance</w:t>
      </w:r>
      <w:r w:rsidR="00AB358C">
        <w:t>, the Securities Act of 1933, and the Securities Exchange Act of 1934, and Dodd Frank are</w:t>
      </w:r>
      <w:r w:rsidR="00946907">
        <w:t>—</w:t>
      </w:r>
      <w:r w:rsidR="00AB358C">
        <w:t xml:space="preserve">are </w:t>
      </w:r>
      <w:r w:rsidR="00AC63EA">
        <w:t>laid out</w:t>
      </w:r>
      <w:r w:rsidR="00D7334E">
        <w:t xml:space="preserve">. </w:t>
      </w:r>
      <w:r w:rsidR="00AB358C">
        <w:t>The history of Glass-</w:t>
      </w:r>
      <w:proofErr w:type="spellStart"/>
      <w:r w:rsidR="00AB358C">
        <w:t>Steagall</w:t>
      </w:r>
      <w:proofErr w:type="spellEnd"/>
      <w:r w:rsidR="00946907">
        <w:t>—</w:t>
      </w:r>
      <w:r w:rsidR="00FC70F0">
        <w:t xml:space="preserve">enacted in the 1930s to </w:t>
      </w:r>
      <w:r w:rsidR="00777073">
        <w:t>prevent</w:t>
      </w:r>
      <w:r w:rsidR="00FC70F0">
        <w:t xml:space="preserve"> </w:t>
      </w:r>
      <w:r w:rsidR="009A7BFA">
        <w:t xml:space="preserve">future </w:t>
      </w:r>
      <w:r w:rsidR="00AC63EA">
        <w:t>banking crise</w:t>
      </w:r>
      <w:r w:rsidR="00FC70F0">
        <w:t xml:space="preserve">s by separating commercial and investment banking </w:t>
      </w:r>
      <w:r w:rsidR="00AC63EA">
        <w:t>and repealed in 1999</w:t>
      </w:r>
      <w:r w:rsidR="00946907">
        <w:t xml:space="preserve">— </w:t>
      </w:r>
      <w:r w:rsidR="00FC70F0">
        <w:t xml:space="preserve">is </w:t>
      </w:r>
      <w:r w:rsidR="00AB358C">
        <w:t xml:space="preserve">offered </w:t>
      </w:r>
      <w:r w:rsidR="00777073">
        <w:t xml:space="preserve">to illustrate </w:t>
      </w:r>
      <w:r w:rsidR="00AB358C">
        <w:t>the evolution of financial markets and regulatory response</w:t>
      </w:r>
      <w:r w:rsidR="00C75766">
        <w:t>s</w:t>
      </w:r>
      <w:r w:rsidR="00AB358C">
        <w:t xml:space="preserve"> to those changes</w:t>
      </w:r>
      <w:r w:rsidR="00D7334E">
        <w:t xml:space="preserve">. </w:t>
      </w:r>
      <w:r w:rsidR="00AB358C">
        <w:t xml:space="preserve">The chapter concludes </w:t>
      </w:r>
      <w:r w:rsidR="00430805">
        <w:t>with</w:t>
      </w:r>
      <w:r w:rsidR="00FC70F0">
        <w:t xml:space="preserve"> an exploration of </w:t>
      </w:r>
      <w:r w:rsidR="00AB358C">
        <w:t xml:space="preserve">the role of housing finance in the Financial Crisis </w:t>
      </w:r>
      <w:r w:rsidR="00C30C42">
        <w:t xml:space="preserve">and </w:t>
      </w:r>
      <w:r w:rsidR="00AB358C">
        <w:t>the Great Recession of 2007</w:t>
      </w:r>
      <w:r w:rsidR="00946907">
        <w:t>–</w:t>
      </w:r>
      <w:r w:rsidR="00AB358C">
        <w:t>09.</w:t>
      </w:r>
      <w:r w:rsidR="00FD145D">
        <w:t xml:space="preserve"> </w:t>
      </w:r>
    </w:p>
    <w:p w:rsidR="006418AB" w:rsidRDefault="006418AB" w:rsidP="00EF329C">
      <w:pPr>
        <w:pStyle w:val="awTB01questionHead"/>
        <w:keepNext w:val="0"/>
        <w:numPr>
          <w:ilvl w:val="0"/>
          <w:numId w:val="1"/>
        </w:numPr>
        <w:spacing w:before="480" w:after="240"/>
        <w:ind w:left="432" w:hanging="432"/>
      </w:pPr>
      <w:r>
        <w:t>Answers to Review Questions</w:t>
      </w:r>
    </w:p>
    <w:p w:rsidR="00C75766" w:rsidRDefault="00C75766" w:rsidP="00EF329C">
      <w:pPr>
        <w:pStyle w:val="MCQList1"/>
        <w:keepNext w:val="0"/>
        <w:tabs>
          <w:tab w:val="clear" w:pos="274"/>
          <w:tab w:val="clear" w:pos="446"/>
        </w:tabs>
        <w:spacing w:before="0" w:after="240"/>
        <w:ind w:left="1008" w:hanging="576"/>
        <w:jc w:val="both"/>
        <w:rPr>
          <w:szCs w:val="24"/>
        </w:rPr>
      </w:pPr>
      <w:r>
        <w:rPr>
          <w:szCs w:val="24"/>
        </w:rPr>
        <w:t>2-1</w:t>
      </w:r>
      <w:r w:rsidR="006418AB">
        <w:rPr>
          <w:szCs w:val="24"/>
        </w:rPr>
        <w:t>.</w:t>
      </w:r>
      <w:r w:rsidR="006418AB">
        <w:rPr>
          <w:szCs w:val="24"/>
        </w:rPr>
        <w:tab/>
      </w:r>
      <w:r>
        <w:rPr>
          <w:szCs w:val="24"/>
        </w:rPr>
        <w:t xml:space="preserve">Financial institutions </w:t>
      </w:r>
      <w:r w:rsidR="003D1666">
        <w:rPr>
          <w:szCs w:val="24"/>
        </w:rPr>
        <w:t>are intermediaries that facilitate the flow of individual, business, and government savings into loans and investments</w:t>
      </w:r>
      <w:r w:rsidR="00D7334E">
        <w:rPr>
          <w:szCs w:val="24"/>
        </w:rPr>
        <w:t xml:space="preserve">. </w:t>
      </w:r>
      <w:r w:rsidR="003D1666">
        <w:rPr>
          <w:szCs w:val="24"/>
        </w:rPr>
        <w:t xml:space="preserve">Broadly speaking, </w:t>
      </w:r>
      <w:r w:rsidR="00024178">
        <w:rPr>
          <w:szCs w:val="24"/>
        </w:rPr>
        <w:t xml:space="preserve">net </w:t>
      </w:r>
      <w:r w:rsidR="003D1666">
        <w:rPr>
          <w:szCs w:val="24"/>
        </w:rPr>
        <w:t>savers</w:t>
      </w:r>
      <w:r w:rsidR="00024178">
        <w:rPr>
          <w:szCs w:val="24"/>
        </w:rPr>
        <w:t xml:space="preserve"> (primarily </w:t>
      </w:r>
      <w:r w:rsidR="00FC1BD3">
        <w:rPr>
          <w:szCs w:val="24"/>
        </w:rPr>
        <w:t>individuals</w:t>
      </w:r>
      <w:r w:rsidR="00024178">
        <w:rPr>
          <w:szCs w:val="24"/>
        </w:rPr>
        <w:t>)</w:t>
      </w:r>
      <w:r w:rsidR="003D1666">
        <w:rPr>
          <w:szCs w:val="24"/>
        </w:rPr>
        <w:t xml:space="preserve"> prefer low risk and easy access to their money while </w:t>
      </w:r>
      <w:r w:rsidR="00024178">
        <w:rPr>
          <w:szCs w:val="24"/>
        </w:rPr>
        <w:t xml:space="preserve">net </w:t>
      </w:r>
      <w:r w:rsidR="003D1666">
        <w:rPr>
          <w:szCs w:val="24"/>
        </w:rPr>
        <w:t xml:space="preserve">borrowers </w:t>
      </w:r>
      <w:r w:rsidR="00024178">
        <w:rPr>
          <w:szCs w:val="24"/>
        </w:rPr>
        <w:t xml:space="preserve">(businesses and government) </w:t>
      </w:r>
      <w:r w:rsidR="00AC63EA">
        <w:rPr>
          <w:szCs w:val="24"/>
        </w:rPr>
        <w:t>would like to take risk with the funds and tie them up for a longer term</w:t>
      </w:r>
      <w:r w:rsidR="00D7334E">
        <w:rPr>
          <w:szCs w:val="24"/>
        </w:rPr>
        <w:t xml:space="preserve">. </w:t>
      </w:r>
      <w:r w:rsidR="00024178">
        <w:rPr>
          <w:szCs w:val="24"/>
        </w:rPr>
        <w:t>Financial institutions transform loans and investments into form</w:t>
      </w:r>
      <w:r w:rsidR="00FC1BD3">
        <w:rPr>
          <w:szCs w:val="24"/>
        </w:rPr>
        <w:t>s</w:t>
      </w:r>
      <w:r w:rsidR="00024178">
        <w:rPr>
          <w:szCs w:val="24"/>
        </w:rPr>
        <w:t xml:space="preserve"> savers prefer to hold (such as deposits) or help net borrowers issue debt </w:t>
      </w:r>
      <w:r w:rsidR="00FC1BD3">
        <w:rPr>
          <w:szCs w:val="24"/>
        </w:rPr>
        <w:t xml:space="preserve">and equity </w:t>
      </w:r>
      <w:r w:rsidR="00024178">
        <w:rPr>
          <w:szCs w:val="24"/>
        </w:rPr>
        <w:t xml:space="preserve">instruments tailored to saver preferences. </w:t>
      </w:r>
    </w:p>
    <w:p w:rsidR="00FC1BD3" w:rsidRDefault="00FC1BD3" w:rsidP="00EF329C">
      <w:pPr>
        <w:pStyle w:val="MCQList1"/>
        <w:keepNext w:val="0"/>
        <w:tabs>
          <w:tab w:val="clear" w:pos="274"/>
          <w:tab w:val="clear" w:pos="446"/>
        </w:tabs>
        <w:spacing w:before="0" w:after="240"/>
        <w:ind w:left="1008" w:hanging="576"/>
        <w:jc w:val="both"/>
        <w:rPr>
          <w:szCs w:val="24"/>
        </w:rPr>
      </w:pPr>
      <w:r>
        <w:rPr>
          <w:szCs w:val="24"/>
        </w:rPr>
        <w:t>2-2</w:t>
      </w:r>
      <w:r>
        <w:rPr>
          <w:szCs w:val="24"/>
        </w:rPr>
        <w:tab/>
      </w:r>
      <w:r w:rsidR="00871C47">
        <w:rPr>
          <w:szCs w:val="24"/>
        </w:rPr>
        <w:t>Overall</w:t>
      </w:r>
      <w:r>
        <w:rPr>
          <w:szCs w:val="24"/>
        </w:rPr>
        <w:t>, the same entities that supply funds</w:t>
      </w:r>
      <w:r w:rsidR="00946907">
        <w:rPr>
          <w:szCs w:val="24"/>
        </w:rPr>
        <w:t>—</w:t>
      </w:r>
      <w:r w:rsidR="0001392D">
        <w:rPr>
          <w:szCs w:val="24"/>
        </w:rPr>
        <w:t>individuals</w:t>
      </w:r>
      <w:r>
        <w:rPr>
          <w:szCs w:val="24"/>
        </w:rPr>
        <w:t>, businesses, and governments</w:t>
      </w:r>
      <w:r w:rsidR="00946907">
        <w:rPr>
          <w:szCs w:val="24"/>
        </w:rPr>
        <w:t>—</w:t>
      </w:r>
      <w:r>
        <w:rPr>
          <w:szCs w:val="24"/>
        </w:rPr>
        <w:t xml:space="preserve">also demand </w:t>
      </w:r>
      <w:r w:rsidR="00871C47">
        <w:rPr>
          <w:szCs w:val="24"/>
        </w:rPr>
        <w:t>them, s</w:t>
      </w:r>
      <w:r>
        <w:rPr>
          <w:szCs w:val="24"/>
        </w:rPr>
        <w:t xml:space="preserve">o these three groups are all </w:t>
      </w:r>
      <w:r w:rsidR="00871C47">
        <w:rPr>
          <w:szCs w:val="24"/>
        </w:rPr>
        <w:t xml:space="preserve">financial-institution </w:t>
      </w:r>
      <w:r>
        <w:rPr>
          <w:szCs w:val="24"/>
        </w:rPr>
        <w:t>customers</w:t>
      </w:r>
      <w:r w:rsidR="00D7334E">
        <w:rPr>
          <w:szCs w:val="24"/>
        </w:rPr>
        <w:t xml:space="preserve">. </w:t>
      </w:r>
      <w:r>
        <w:rPr>
          <w:szCs w:val="24"/>
        </w:rPr>
        <w:t>That said</w:t>
      </w:r>
      <w:proofErr w:type="gramStart"/>
      <w:r>
        <w:rPr>
          <w:szCs w:val="24"/>
        </w:rPr>
        <w:t>,</w:t>
      </w:r>
      <w:proofErr w:type="gramEnd"/>
      <w:r>
        <w:rPr>
          <w:szCs w:val="24"/>
        </w:rPr>
        <w:t xml:space="preserve"> the key demanders of funds (net borrowers) are businesses and governments while the key suppliers (net savers) are individual</w:t>
      </w:r>
      <w:r w:rsidR="0001392D">
        <w:rPr>
          <w:szCs w:val="24"/>
        </w:rPr>
        <w:t>s</w:t>
      </w:r>
      <w:r w:rsidR="00D7334E">
        <w:rPr>
          <w:szCs w:val="24"/>
        </w:rPr>
        <w:t xml:space="preserve">. </w:t>
      </w:r>
    </w:p>
    <w:p w:rsidR="006418AB" w:rsidRDefault="002D68EE" w:rsidP="00EF329C">
      <w:pPr>
        <w:pStyle w:val="MCQList1"/>
        <w:keepNext w:val="0"/>
        <w:tabs>
          <w:tab w:val="clear" w:pos="274"/>
          <w:tab w:val="clear" w:pos="446"/>
        </w:tabs>
        <w:spacing w:before="0" w:after="240"/>
        <w:ind w:left="1008" w:hanging="576"/>
        <w:jc w:val="both"/>
        <w:rPr>
          <w:szCs w:val="24"/>
        </w:rPr>
      </w:pPr>
      <w:r>
        <w:rPr>
          <w:szCs w:val="24"/>
        </w:rPr>
        <w:lastRenderedPageBreak/>
        <w:t>2-3</w:t>
      </w:r>
      <w:r w:rsidR="006418AB">
        <w:rPr>
          <w:szCs w:val="24"/>
        </w:rPr>
        <w:tab/>
      </w:r>
      <w:r w:rsidR="0001392D">
        <w:rPr>
          <w:spacing w:val="-4"/>
          <w:szCs w:val="24"/>
        </w:rPr>
        <w:t>C</w:t>
      </w:r>
      <w:r w:rsidR="006418AB">
        <w:rPr>
          <w:spacing w:val="-4"/>
          <w:szCs w:val="24"/>
        </w:rPr>
        <w:t>ommercial banks</w:t>
      </w:r>
      <w:r>
        <w:rPr>
          <w:spacing w:val="-4"/>
          <w:szCs w:val="24"/>
        </w:rPr>
        <w:t>,</w:t>
      </w:r>
      <w:r w:rsidR="006418AB">
        <w:rPr>
          <w:spacing w:val="-4"/>
          <w:szCs w:val="24"/>
        </w:rPr>
        <w:t xml:space="preserve"> </w:t>
      </w:r>
      <w:r w:rsidR="006418AB" w:rsidRPr="00EF329C">
        <w:rPr>
          <w:szCs w:val="24"/>
        </w:rPr>
        <w:t>investment</w:t>
      </w:r>
      <w:r w:rsidR="006418AB">
        <w:rPr>
          <w:spacing w:val="-4"/>
          <w:szCs w:val="24"/>
        </w:rPr>
        <w:t xml:space="preserve"> banks</w:t>
      </w:r>
      <w:r w:rsidR="00871C47">
        <w:rPr>
          <w:spacing w:val="-4"/>
          <w:szCs w:val="24"/>
        </w:rPr>
        <w:t>,</w:t>
      </w:r>
      <w:r w:rsidR="00B10407">
        <w:rPr>
          <w:spacing w:val="-4"/>
          <w:szCs w:val="24"/>
        </w:rPr>
        <w:t xml:space="preserve"> and the shadow-</w:t>
      </w:r>
      <w:r>
        <w:rPr>
          <w:spacing w:val="-4"/>
          <w:szCs w:val="24"/>
        </w:rPr>
        <w:t>banking system</w:t>
      </w:r>
      <w:r w:rsidR="0001392D">
        <w:rPr>
          <w:spacing w:val="-4"/>
          <w:szCs w:val="24"/>
        </w:rPr>
        <w:t xml:space="preserve"> are </w:t>
      </w:r>
      <w:r w:rsidR="00871C47">
        <w:rPr>
          <w:spacing w:val="-4"/>
          <w:szCs w:val="24"/>
        </w:rPr>
        <w:t>all</w:t>
      </w:r>
      <w:r w:rsidR="0001392D">
        <w:rPr>
          <w:spacing w:val="-4"/>
          <w:szCs w:val="24"/>
        </w:rPr>
        <w:t xml:space="preserve"> financial institutions</w:t>
      </w:r>
      <w:r w:rsidR="00D7334E">
        <w:rPr>
          <w:spacing w:val="-4"/>
          <w:szCs w:val="24"/>
        </w:rPr>
        <w:t xml:space="preserve">. </w:t>
      </w:r>
      <w:r w:rsidR="005601B7">
        <w:rPr>
          <w:spacing w:val="-4"/>
          <w:szCs w:val="24"/>
        </w:rPr>
        <w:t>Broadly speaking, c</w:t>
      </w:r>
      <w:r>
        <w:rPr>
          <w:spacing w:val="-4"/>
          <w:szCs w:val="24"/>
        </w:rPr>
        <w:t xml:space="preserve">ommercial banks transform the deposits of net savers into loans </w:t>
      </w:r>
      <w:r w:rsidR="005601B7">
        <w:rPr>
          <w:spacing w:val="-4"/>
          <w:szCs w:val="24"/>
        </w:rPr>
        <w:t xml:space="preserve">to </w:t>
      </w:r>
      <w:r>
        <w:rPr>
          <w:spacing w:val="-4"/>
          <w:szCs w:val="24"/>
        </w:rPr>
        <w:t>net borrowers</w:t>
      </w:r>
      <w:r w:rsidR="00D7334E">
        <w:rPr>
          <w:spacing w:val="-4"/>
          <w:szCs w:val="24"/>
        </w:rPr>
        <w:t xml:space="preserve">. </w:t>
      </w:r>
      <w:r w:rsidR="00B10407">
        <w:rPr>
          <w:spacing w:val="-4"/>
          <w:szCs w:val="24"/>
        </w:rPr>
        <w:t>I</w:t>
      </w:r>
      <w:r w:rsidR="005601B7">
        <w:rPr>
          <w:spacing w:val="-4"/>
          <w:szCs w:val="24"/>
        </w:rPr>
        <w:t>nvestment banks</w:t>
      </w:r>
      <w:r w:rsidR="00B10407">
        <w:rPr>
          <w:spacing w:val="-4"/>
          <w:szCs w:val="24"/>
        </w:rPr>
        <w:t>, in contrast,</w:t>
      </w:r>
      <w:r w:rsidR="005601B7">
        <w:rPr>
          <w:spacing w:val="-4"/>
          <w:szCs w:val="24"/>
        </w:rPr>
        <w:t xml:space="preserve"> do not “transform” the liquidity and riskiness of financial assets</w:t>
      </w:r>
      <w:r w:rsidR="00D7334E">
        <w:rPr>
          <w:spacing w:val="-4"/>
          <w:szCs w:val="24"/>
        </w:rPr>
        <w:t xml:space="preserve">. </w:t>
      </w:r>
      <w:r w:rsidR="005601B7">
        <w:rPr>
          <w:spacing w:val="-4"/>
          <w:szCs w:val="24"/>
        </w:rPr>
        <w:t xml:space="preserve">Instead, they </w:t>
      </w:r>
      <w:r w:rsidR="00265F3F">
        <w:rPr>
          <w:spacing w:val="-4"/>
          <w:szCs w:val="24"/>
        </w:rPr>
        <w:t>help “match” demanders and issuers of debt and equity instruments</w:t>
      </w:r>
      <w:r w:rsidR="00D7334E">
        <w:rPr>
          <w:spacing w:val="-4"/>
          <w:szCs w:val="24"/>
        </w:rPr>
        <w:t xml:space="preserve">. </w:t>
      </w:r>
      <w:r w:rsidR="00265F3F">
        <w:rPr>
          <w:spacing w:val="-4"/>
          <w:szCs w:val="24"/>
        </w:rPr>
        <w:t>Specifically, investment banks instruct</w:t>
      </w:r>
      <w:r w:rsidR="005601B7">
        <w:rPr>
          <w:spacing w:val="-4"/>
          <w:szCs w:val="24"/>
        </w:rPr>
        <w:t xml:space="preserve"> companies on the best vehicles </w:t>
      </w:r>
      <w:r w:rsidR="00A94681">
        <w:rPr>
          <w:spacing w:val="-4"/>
          <w:szCs w:val="24"/>
        </w:rPr>
        <w:t xml:space="preserve">for </w:t>
      </w:r>
      <w:r w:rsidR="005601B7">
        <w:rPr>
          <w:spacing w:val="-4"/>
          <w:szCs w:val="24"/>
        </w:rPr>
        <w:t>raising capital</w:t>
      </w:r>
      <w:r w:rsidR="00B10407">
        <w:rPr>
          <w:spacing w:val="-4"/>
          <w:szCs w:val="24"/>
        </w:rPr>
        <w:t>, a</w:t>
      </w:r>
      <w:r w:rsidR="005601B7">
        <w:rPr>
          <w:spacing w:val="-4"/>
          <w:szCs w:val="24"/>
        </w:rPr>
        <w:t xml:space="preserve">dvise </w:t>
      </w:r>
      <w:r w:rsidR="00B10407">
        <w:rPr>
          <w:spacing w:val="-4"/>
          <w:szCs w:val="24"/>
        </w:rPr>
        <w:t xml:space="preserve">them </w:t>
      </w:r>
      <w:r w:rsidR="005601B7">
        <w:rPr>
          <w:spacing w:val="-4"/>
          <w:szCs w:val="24"/>
        </w:rPr>
        <w:t>on mergers/restructuring</w:t>
      </w:r>
      <w:r w:rsidR="00A94681">
        <w:rPr>
          <w:spacing w:val="-4"/>
          <w:szCs w:val="24"/>
        </w:rPr>
        <w:t>,</w:t>
      </w:r>
      <w:r w:rsidR="005601B7">
        <w:rPr>
          <w:spacing w:val="-4"/>
          <w:szCs w:val="24"/>
        </w:rPr>
        <w:t xml:space="preserve"> and engage in trading and market-making</w:t>
      </w:r>
      <w:r w:rsidR="00A94681">
        <w:rPr>
          <w:spacing w:val="-4"/>
          <w:szCs w:val="24"/>
        </w:rPr>
        <w:t xml:space="preserve"> to support their </w:t>
      </w:r>
      <w:r w:rsidR="008F5FA7">
        <w:rPr>
          <w:spacing w:val="-4"/>
          <w:szCs w:val="24"/>
        </w:rPr>
        <w:t>consulting</w:t>
      </w:r>
      <w:r w:rsidR="00A94681">
        <w:rPr>
          <w:spacing w:val="-4"/>
          <w:szCs w:val="24"/>
        </w:rPr>
        <w:t xml:space="preserve"> function</w:t>
      </w:r>
      <w:r w:rsidR="00D7334E">
        <w:rPr>
          <w:spacing w:val="-4"/>
          <w:szCs w:val="24"/>
        </w:rPr>
        <w:t xml:space="preserve">. </w:t>
      </w:r>
      <w:r w:rsidR="00B10407">
        <w:rPr>
          <w:spacing w:val="-4"/>
          <w:szCs w:val="24"/>
        </w:rPr>
        <w:t>Finally, t</w:t>
      </w:r>
      <w:r w:rsidR="008F5FA7">
        <w:rPr>
          <w:spacing w:val="-4"/>
          <w:szCs w:val="24"/>
        </w:rPr>
        <w:t>he shadow-</w:t>
      </w:r>
      <w:r w:rsidR="00265F3F">
        <w:rPr>
          <w:spacing w:val="-4"/>
          <w:szCs w:val="24"/>
        </w:rPr>
        <w:t>banking system performs services for net savers and borrowers similar to commercial banks</w:t>
      </w:r>
      <w:r w:rsidR="00946907">
        <w:rPr>
          <w:spacing w:val="-4"/>
          <w:szCs w:val="24"/>
        </w:rPr>
        <w:t>—</w:t>
      </w:r>
      <w:r w:rsidR="00265F3F">
        <w:rPr>
          <w:spacing w:val="-4"/>
          <w:szCs w:val="24"/>
        </w:rPr>
        <w:t>but without issuing deposits</w:t>
      </w:r>
      <w:r w:rsidR="00D7334E">
        <w:rPr>
          <w:spacing w:val="-3"/>
          <w:szCs w:val="24"/>
        </w:rPr>
        <w:t xml:space="preserve">. </w:t>
      </w:r>
      <w:r w:rsidR="00B10407">
        <w:rPr>
          <w:spacing w:val="-3"/>
          <w:szCs w:val="24"/>
        </w:rPr>
        <w:t>By n</w:t>
      </w:r>
      <w:r w:rsidR="00265F3F">
        <w:rPr>
          <w:spacing w:val="-3"/>
          <w:szCs w:val="24"/>
        </w:rPr>
        <w:t>ot relying on deposit funding</w:t>
      </w:r>
      <w:r w:rsidR="00B10407">
        <w:rPr>
          <w:spacing w:val="-3"/>
          <w:szCs w:val="24"/>
        </w:rPr>
        <w:t xml:space="preserve">, </w:t>
      </w:r>
      <w:r w:rsidR="00265F3F">
        <w:rPr>
          <w:spacing w:val="-3"/>
          <w:szCs w:val="24"/>
        </w:rPr>
        <w:t xml:space="preserve">shadow banks </w:t>
      </w:r>
      <w:r w:rsidR="008F5FA7">
        <w:rPr>
          <w:spacing w:val="-3"/>
          <w:szCs w:val="24"/>
        </w:rPr>
        <w:t xml:space="preserve">can </w:t>
      </w:r>
      <w:r w:rsidR="00B10407">
        <w:rPr>
          <w:spacing w:val="-3"/>
          <w:szCs w:val="24"/>
        </w:rPr>
        <w:t>evade prudential regula</w:t>
      </w:r>
      <w:r w:rsidR="008F5FA7">
        <w:rPr>
          <w:spacing w:val="-3"/>
          <w:szCs w:val="24"/>
        </w:rPr>
        <w:t>tion designed to constrain risk-</w:t>
      </w:r>
      <w:r w:rsidR="00B10407">
        <w:rPr>
          <w:spacing w:val="-3"/>
          <w:szCs w:val="24"/>
        </w:rPr>
        <w:t xml:space="preserve">taking by ordinary banks. </w:t>
      </w:r>
    </w:p>
    <w:p w:rsidR="006418AB" w:rsidRDefault="00C30C42" w:rsidP="00EF329C">
      <w:pPr>
        <w:pStyle w:val="MCQList1"/>
        <w:keepNext w:val="0"/>
        <w:tabs>
          <w:tab w:val="clear" w:pos="274"/>
          <w:tab w:val="clear" w:pos="446"/>
        </w:tabs>
        <w:spacing w:before="0" w:after="240"/>
        <w:ind w:left="1008" w:hanging="576"/>
        <w:jc w:val="both"/>
      </w:pPr>
      <w:r>
        <w:rPr>
          <w:szCs w:val="24"/>
        </w:rPr>
        <w:t>2-4</w:t>
      </w:r>
      <w:r w:rsidR="006418AB">
        <w:rPr>
          <w:szCs w:val="24"/>
        </w:rPr>
        <w:t>.</w:t>
      </w:r>
      <w:r w:rsidR="006418AB">
        <w:rPr>
          <w:szCs w:val="24"/>
        </w:rPr>
        <w:tab/>
      </w:r>
      <w:r w:rsidR="006418AB" w:rsidRPr="00C30C42">
        <w:rPr>
          <w:iCs/>
          <w:szCs w:val="24"/>
        </w:rPr>
        <w:t xml:space="preserve">Financial </w:t>
      </w:r>
      <w:r w:rsidR="006418AB" w:rsidRPr="00EF329C">
        <w:rPr>
          <w:szCs w:val="24"/>
        </w:rPr>
        <w:t>markets</w:t>
      </w:r>
      <w:r w:rsidR="006418AB" w:rsidRPr="00C30C42">
        <w:rPr>
          <w:szCs w:val="24"/>
        </w:rPr>
        <w:t xml:space="preserve"> </w:t>
      </w:r>
      <w:r w:rsidR="0001392D">
        <w:rPr>
          <w:szCs w:val="24"/>
        </w:rPr>
        <w:t xml:space="preserve">facilitate direct interaction of </w:t>
      </w:r>
      <w:r w:rsidR="006418AB" w:rsidRPr="00C30C42">
        <w:rPr>
          <w:szCs w:val="24"/>
        </w:rPr>
        <w:t xml:space="preserve">suppliers </w:t>
      </w:r>
      <w:r>
        <w:rPr>
          <w:szCs w:val="24"/>
        </w:rPr>
        <w:t xml:space="preserve">and </w:t>
      </w:r>
      <w:r w:rsidR="006418AB" w:rsidRPr="00C30C42">
        <w:rPr>
          <w:szCs w:val="24"/>
        </w:rPr>
        <w:t xml:space="preserve">demanders of </w:t>
      </w:r>
      <w:r>
        <w:rPr>
          <w:szCs w:val="24"/>
        </w:rPr>
        <w:t>funds</w:t>
      </w:r>
      <w:r w:rsidR="00D7334E">
        <w:rPr>
          <w:szCs w:val="24"/>
        </w:rPr>
        <w:t xml:space="preserve">. </w:t>
      </w:r>
      <w:r w:rsidR="0033107B">
        <w:rPr>
          <w:szCs w:val="24"/>
        </w:rPr>
        <w:t xml:space="preserve">In </w:t>
      </w:r>
      <w:r w:rsidR="0033107B">
        <w:rPr>
          <w:iCs/>
        </w:rPr>
        <w:t>p</w:t>
      </w:r>
      <w:r w:rsidR="006418AB" w:rsidRPr="00C30C42">
        <w:rPr>
          <w:iCs/>
        </w:rPr>
        <w:t>rimary</w:t>
      </w:r>
      <w:r>
        <w:rPr>
          <w:iCs/>
        </w:rPr>
        <w:t xml:space="preserve"> </w:t>
      </w:r>
      <w:r w:rsidR="006418AB" w:rsidRPr="00C30C42">
        <w:rPr>
          <w:iCs/>
        </w:rPr>
        <w:t>market</w:t>
      </w:r>
      <w:r>
        <w:rPr>
          <w:iCs/>
        </w:rPr>
        <w:t>s</w:t>
      </w:r>
      <w:r w:rsidR="0033107B">
        <w:rPr>
          <w:iCs/>
        </w:rPr>
        <w:t xml:space="preserve">, </w:t>
      </w:r>
      <w:r>
        <w:rPr>
          <w:iCs/>
        </w:rPr>
        <w:t xml:space="preserve">debt and equity </w:t>
      </w:r>
      <w:r w:rsidRPr="00EE0D93">
        <w:rPr>
          <w:spacing w:val="-4"/>
          <w:szCs w:val="24"/>
        </w:rPr>
        <w:t>instruments</w:t>
      </w:r>
      <w:r>
        <w:rPr>
          <w:iCs/>
        </w:rPr>
        <w:t xml:space="preserve"> are sold the first time</w:t>
      </w:r>
      <w:r w:rsidR="00946907">
        <w:rPr>
          <w:iCs/>
        </w:rPr>
        <w:t>—</w:t>
      </w:r>
      <w:r w:rsidR="000939FE">
        <w:rPr>
          <w:iCs/>
        </w:rPr>
        <w:t>a direct exchange</w:t>
      </w:r>
      <w:r>
        <w:rPr>
          <w:iCs/>
        </w:rPr>
        <w:t xml:space="preserve"> between the </w:t>
      </w:r>
      <w:r w:rsidR="0001392D">
        <w:rPr>
          <w:iCs/>
        </w:rPr>
        <w:t xml:space="preserve">firm or government issuing </w:t>
      </w:r>
      <w:r>
        <w:rPr>
          <w:iCs/>
        </w:rPr>
        <w:t>securit</w:t>
      </w:r>
      <w:r w:rsidR="000939FE">
        <w:rPr>
          <w:iCs/>
        </w:rPr>
        <w:t>ies</w:t>
      </w:r>
      <w:r>
        <w:rPr>
          <w:iCs/>
        </w:rPr>
        <w:t xml:space="preserve"> and the purchaser</w:t>
      </w:r>
      <w:r w:rsidR="00F2797A">
        <w:rPr>
          <w:iCs/>
        </w:rPr>
        <w:t>s</w:t>
      </w:r>
      <w:r w:rsidR="00D7334E">
        <w:rPr>
          <w:iCs/>
        </w:rPr>
        <w:t xml:space="preserve">. </w:t>
      </w:r>
      <w:r w:rsidR="006418AB" w:rsidRPr="00C30C42">
        <w:t xml:space="preserve">An example </w:t>
      </w:r>
      <w:r w:rsidR="0033107B">
        <w:t>is</w:t>
      </w:r>
      <w:r w:rsidR="006418AB" w:rsidRPr="00C30C42">
        <w:t xml:space="preserve"> Microsoft Corporation selling n</w:t>
      </w:r>
      <w:r w:rsidR="00B7643D">
        <w:t>ew shares of common stock to private investors</w:t>
      </w:r>
      <w:r w:rsidR="00D7334E">
        <w:t xml:space="preserve">. </w:t>
      </w:r>
      <w:r w:rsidR="000939FE">
        <w:t xml:space="preserve">In </w:t>
      </w:r>
      <w:r>
        <w:t>s</w:t>
      </w:r>
      <w:r w:rsidR="006418AB" w:rsidRPr="00C30C42">
        <w:rPr>
          <w:iCs/>
          <w:szCs w:val="24"/>
        </w:rPr>
        <w:t>econdary</w:t>
      </w:r>
      <w:r w:rsidR="000939FE">
        <w:rPr>
          <w:iCs/>
          <w:szCs w:val="24"/>
        </w:rPr>
        <w:t xml:space="preserve"> </w:t>
      </w:r>
      <w:r w:rsidR="006418AB" w:rsidRPr="00C30C42">
        <w:rPr>
          <w:iCs/>
          <w:szCs w:val="24"/>
        </w:rPr>
        <w:t>market</w:t>
      </w:r>
      <w:r w:rsidR="00F2797A">
        <w:rPr>
          <w:iCs/>
          <w:szCs w:val="24"/>
        </w:rPr>
        <w:t>s</w:t>
      </w:r>
      <w:r w:rsidR="009A4F66">
        <w:rPr>
          <w:iCs/>
          <w:szCs w:val="24"/>
        </w:rPr>
        <w:t>, previous issued securities are traded subsequent time</w:t>
      </w:r>
      <w:r w:rsidR="00F2797A">
        <w:rPr>
          <w:iCs/>
          <w:szCs w:val="24"/>
        </w:rPr>
        <w:t xml:space="preserve">s; the </w:t>
      </w:r>
      <w:r w:rsidR="00B7643D">
        <w:rPr>
          <w:szCs w:val="24"/>
        </w:rPr>
        <w:t xml:space="preserve">original issuers receive </w:t>
      </w:r>
      <w:r w:rsidR="006418AB" w:rsidRPr="00C30C42">
        <w:rPr>
          <w:szCs w:val="24"/>
        </w:rPr>
        <w:t>no new funds</w:t>
      </w:r>
      <w:r w:rsidR="00D7334E">
        <w:rPr>
          <w:szCs w:val="24"/>
        </w:rPr>
        <w:t xml:space="preserve">. </w:t>
      </w:r>
      <w:r w:rsidR="006418AB" w:rsidRPr="00C30C42">
        <w:rPr>
          <w:szCs w:val="24"/>
        </w:rPr>
        <w:t xml:space="preserve">An example </w:t>
      </w:r>
      <w:r w:rsidR="0033107B">
        <w:rPr>
          <w:szCs w:val="24"/>
        </w:rPr>
        <w:t xml:space="preserve">is </w:t>
      </w:r>
      <w:r w:rsidR="00B7643D">
        <w:rPr>
          <w:szCs w:val="24"/>
        </w:rPr>
        <w:t xml:space="preserve">an investor </w:t>
      </w:r>
      <w:r w:rsidR="006418AB" w:rsidRPr="00C30C42">
        <w:rPr>
          <w:szCs w:val="24"/>
        </w:rPr>
        <w:t xml:space="preserve">buying </w:t>
      </w:r>
      <w:r w:rsidR="009A4F66">
        <w:rPr>
          <w:szCs w:val="24"/>
        </w:rPr>
        <w:t xml:space="preserve">a share of outstanding Microsoft </w:t>
      </w:r>
      <w:r w:rsidR="006418AB" w:rsidRPr="00C30C42">
        <w:rPr>
          <w:szCs w:val="24"/>
        </w:rPr>
        <w:t xml:space="preserve">common stock from </w:t>
      </w:r>
      <w:r w:rsidR="009A4F66">
        <w:rPr>
          <w:szCs w:val="24"/>
        </w:rPr>
        <w:t xml:space="preserve">another </w:t>
      </w:r>
      <w:r w:rsidR="00B7643D">
        <w:rPr>
          <w:szCs w:val="24"/>
        </w:rPr>
        <w:t>investor</w:t>
      </w:r>
      <w:r w:rsidR="00776174" w:rsidRPr="00C30C42">
        <w:rPr>
          <w:szCs w:val="24"/>
        </w:rPr>
        <w:t xml:space="preserve"> through a broker</w:t>
      </w:r>
      <w:r w:rsidR="00D7334E">
        <w:rPr>
          <w:szCs w:val="24"/>
        </w:rPr>
        <w:t xml:space="preserve">. </w:t>
      </w:r>
      <w:r w:rsidR="009A4F66">
        <w:rPr>
          <w:szCs w:val="24"/>
        </w:rPr>
        <w:t xml:space="preserve">Put </w:t>
      </w:r>
      <w:r w:rsidR="0033107B">
        <w:rPr>
          <w:szCs w:val="24"/>
        </w:rPr>
        <w:t>simply</w:t>
      </w:r>
      <w:r w:rsidR="009A4F66">
        <w:rPr>
          <w:szCs w:val="24"/>
        </w:rPr>
        <w:t xml:space="preserve">, primary markets </w:t>
      </w:r>
      <w:r w:rsidR="00776174">
        <w:rPr>
          <w:szCs w:val="24"/>
        </w:rPr>
        <w:t xml:space="preserve">feature sales of </w:t>
      </w:r>
      <w:r w:rsidR="009A4F66">
        <w:rPr>
          <w:szCs w:val="24"/>
        </w:rPr>
        <w:t xml:space="preserve">“new” securities while </w:t>
      </w:r>
      <w:r w:rsidR="008F5FA7">
        <w:rPr>
          <w:szCs w:val="24"/>
        </w:rPr>
        <w:t>“used” security transactions take place in secondary markets</w:t>
      </w:r>
      <w:r w:rsidR="00D7334E">
        <w:rPr>
          <w:szCs w:val="24"/>
        </w:rPr>
        <w:t xml:space="preserve">. </w:t>
      </w:r>
      <w:r w:rsidR="00B7643D">
        <w:rPr>
          <w:szCs w:val="24"/>
        </w:rPr>
        <w:t xml:space="preserve">Primary and secondary markets have a symbiotic </w:t>
      </w:r>
      <w:r w:rsidR="00776174">
        <w:rPr>
          <w:szCs w:val="24"/>
        </w:rPr>
        <w:t>relationship</w:t>
      </w:r>
      <w:r w:rsidR="00946907">
        <w:rPr>
          <w:szCs w:val="24"/>
        </w:rPr>
        <w:t>—</w:t>
      </w:r>
      <w:r w:rsidR="00776174">
        <w:rPr>
          <w:szCs w:val="24"/>
        </w:rPr>
        <w:t xml:space="preserve">the </w:t>
      </w:r>
      <w:r w:rsidR="00B7643D">
        <w:rPr>
          <w:szCs w:val="24"/>
        </w:rPr>
        <w:t xml:space="preserve">easier </w:t>
      </w:r>
      <w:r w:rsidR="00F2797A">
        <w:rPr>
          <w:szCs w:val="24"/>
        </w:rPr>
        <w:t xml:space="preserve">the resale of </w:t>
      </w:r>
      <w:r w:rsidR="00B7643D">
        <w:rPr>
          <w:szCs w:val="24"/>
        </w:rPr>
        <w:t xml:space="preserve">a financial asset in a secondary market, the easier </w:t>
      </w:r>
      <w:r w:rsidR="00F2797A">
        <w:rPr>
          <w:szCs w:val="24"/>
        </w:rPr>
        <w:t xml:space="preserve">the initial sale of </w:t>
      </w:r>
      <w:r w:rsidR="00B7643D">
        <w:rPr>
          <w:szCs w:val="24"/>
        </w:rPr>
        <w:t>that asset in a primary market</w:t>
      </w:r>
      <w:r w:rsidR="00D7334E">
        <w:rPr>
          <w:szCs w:val="24"/>
        </w:rPr>
        <w:t xml:space="preserve">. </w:t>
      </w:r>
      <w:r w:rsidR="00B7643D">
        <w:rPr>
          <w:szCs w:val="24"/>
        </w:rPr>
        <w:t>Similarly, f</w:t>
      </w:r>
      <w:r w:rsidR="006418AB" w:rsidRPr="00C30C42">
        <w:t xml:space="preserve">inancial institutions and financial markets are </w:t>
      </w:r>
      <w:r w:rsidR="00C10FCC">
        <w:t>far from</w:t>
      </w:r>
      <w:r w:rsidR="006418AB" w:rsidRPr="00C30C42">
        <w:t xml:space="preserve"> independent</w:t>
      </w:r>
      <w:r w:rsidR="00D7334E">
        <w:t xml:space="preserve">. </w:t>
      </w:r>
      <w:r w:rsidR="00F2797A">
        <w:t>C</w:t>
      </w:r>
      <w:r w:rsidR="00B7643D">
        <w:t>ommercial banks</w:t>
      </w:r>
      <w:r w:rsidR="00F2797A">
        <w:t>, for example,</w:t>
      </w:r>
      <w:r w:rsidR="00B7643D">
        <w:t xml:space="preserve"> hold </w:t>
      </w:r>
      <w:r w:rsidR="00F2797A">
        <w:t xml:space="preserve">large </w:t>
      </w:r>
      <w:r w:rsidR="008F5FA7">
        <w:t>inventories</w:t>
      </w:r>
      <w:r w:rsidR="00F2797A">
        <w:t xml:space="preserve"> of </w:t>
      </w:r>
      <w:r w:rsidR="008F5FA7">
        <w:t xml:space="preserve">U.S. Treasury </w:t>
      </w:r>
      <w:r w:rsidR="001F7486">
        <w:t>securities</w:t>
      </w:r>
      <w:r w:rsidR="008F5FA7">
        <w:t xml:space="preserve"> </w:t>
      </w:r>
      <w:r w:rsidR="00B7643D">
        <w:t>to improve the liquidity and</w:t>
      </w:r>
      <w:r w:rsidR="008F5FA7">
        <w:t xml:space="preserve"> risk of their asset portfolio, and</w:t>
      </w:r>
      <w:r w:rsidR="00B7643D">
        <w:t xml:space="preserve"> </w:t>
      </w:r>
      <w:r w:rsidR="008F5FA7">
        <w:t xml:space="preserve">strong </w:t>
      </w:r>
      <w:r w:rsidR="00B7643D">
        <w:t xml:space="preserve">bank </w:t>
      </w:r>
      <w:r w:rsidR="00C10FCC">
        <w:t xml:space="preserve">demand makes it </w:t>
      </w:r>
      <w:r w:rsidR="001F7486">
        <w:t xml:space="preserve">easier for </w:t>
      </w:r>
      <w:r w:rsidR="008F5FA7">
        <w:t xml:space="preserve">the Treasury to sell </w:t>
      </w:r>
      <w:r w:rsidR="00C10FCC">
        <w:t>debt in the first place</w:t>
      </w:r>
      <w:r w:rsidR="00D7334E">
        <w:t xml:space="preserve">. </w:t>
      </w:r>
      <w:r w:rsidR="00F2797A">
        <w:t>Because</w:t>
      </w:r>
      <w:r w:rsidR="00C10FCC">
        <w:t xml:space="preserve"> bank</w:t>
      </w:r>
      <w:r w:rsidR="0033107B">
        <w:t>s</w:t>
      </w:r>
      <w:r w:rsidR="00C10FCC">
        <w:t xml:space="preserve"> have </w:t>
      </w:r>
      <w:r w:rsidR="00517A58">
        <w:t xml:space="preserve">taken </w:t>
      </w:r>
      <w:r w:rsidR="00C10FCC">
        <w:t>deposits and ma</w:t>
      </w:r>
      <w:r w:rsidR="00517A58">
        <w:t>de</w:t>
      </w:r>
      <w:r w:rsidR="00C10FCC">
        <w:t xml:space="preserve"> loans since the days of goldsmiths in Medieval Europe</w:t>
      </w:r>
      <w:r w:rsidR="00F2797A">
        <w:t xml:space="preserve">, they </w:t>
      </w:r>
      <w:r w:rsidR="00EE0D93">
        <w:t>enjoy</w:t>
      </w:r>
      <w:r w:rsidR="00F2797A">
        <w:t xml:space="preserve"> </w:t>
      </w:r>
      <w:r w:rsidR="0033107B">
        <w:t xml:space="preserve">a </w:t>
      </w:r>
      <w:r w:rsidR="00C10FCC">
        <w:t>comparative advantage in originating and monitoring commercial loans</w:t>
      </w:r>
      <w:r w:rsidR="00D7334E">
        <w:t xml:space="preserve">. </w:t>
      </w:r>
      <w:r w:rsidR="00F2797A">
        <w:t xml:space="preserve">Aware of this </w:t>
      </w:r>
      <w:r w:rsidR="00517A58">
        <w:t>advantage, t</w:t>
      </w:r>
      <w:r w:rsidR="00C10FCC">
        <w:t>he capital markets watch bank lending for clues about</w:t>
      </w:r>
      <w:r w:rsidR="0033107B">
        <w:t xml:space="preserve"> </w:t>
      </w:r>
      <w:r w:rsidR="00F2797A">
        <w:t>borrower</w:t>
      </w:r>
      <w:r w:rsidR="0033107B">
        <w:t xml:space="preserve"> financial </w:t>
      </w:r>
      <w:r w:rsidR="00517A58">
        <w:t>strength</w:t>
      </w:r>
      <w:r w:rsidR="00D7334E">
        <w:t xml:space="preserve">. </w:t>
      </w:r>
      <w:r w:rsidR="00517A58">
        <w:t>Wh</w:t>
      </w:r>
      <w:r w:rsidR="00C10FCC">
        <w:t xml:space="preserve">en a commercial bank announces a new loan to a publicly traded firm, that firm’s stock price </w:t>
      </w:r>
      <w:r w:rsidR="0033107B">
        <w:t>typically</w:t>
      </w:r>
      <w:r w:rsidR="00C10FCC">
        <w:t xml:space="preserve"> rise</w:t>
      </w:r>
      <w:r w:rsidR="0033107B">
        <w:t>s</w:t>
      </w:r>
      <w:r w:rsidR="00D7334E">
        <w:t xml:space="preserve">. </w:t>
      </w:r>
    </w:p>
    <w:p w:rsidR="00EE0D93" w:rsidRPr="00C30C42" w:rsidRDefault="00EE0D93" w:rsidP="00EF329C">
      <w:pPr>
        <w:pStyle w:val="MCQList1"/>
        <w:keepNext w:val="0"/>
        <w:tabs>
          <w:tab w:val="clear" w:pos="274"/>
          <w:tab w:val="clear" w:pos="446"/>
        </w:tabs>
        <w:spacing w:before="0" w:after="240"/>
        <w:ind w:left="1008" w:hanging="576"/>
        <w:jc w:val="both"/>
      </w:pPr>
      <w:r>
        <w:t>2-5</w:t>
      </w:r>
      <w:r>
        <w:tab/>
        <w:t xml:space="preserve">A private </w:t>
      </w:r>
      <w:proofErr w:type="gramStart"/>
      <w:r>
        <w:t>placement</w:t>
      </w:r>
      <w:proofErr w:type="gramEnd"/>
      <w:r>
        <w:t xml:space="preserve"> is </w:t>
      </w:r>
      <w:r w:rsidR="00D7334E">
        <w:t>the</w:t>
      </w:r>
      <w:r>
        <w:t xml:space="preserve"> sale of a new </w:t>
      </w:r>
      <w:r w:rsidR="00EB01A7">
        <w:t xml:space="preserve">security directly to an investor or </w:t>
      </w:r>
      <w:r w:rsidR="00054A5A">
        <w:t xml:space="preserve">a small </w:t>
      </w:r>
      <w:r w:rsidR="00EB01A7">
        <w:t xml:space="preserve">group of </w:t>
      </w:r>
      <w:r w:rsidR="00054A5A">
        <w:t xml:space="preserve">sophisticated </w:t>
      </w:r>
      <w:r w:rsidR="00EB01A7">
        <w:t>investors</w:t>
      </w:r>
      <w:r w:rsidR="00BE5CEA">
        <w:t xml:space="preserve"> (</w:t>
      </w:r>
      <w:r w:rsidR="00EB01A7">
        <w:t xml:space="preserve">such as insurance </w:t>
      </w:r>
      <w:r w:rsidR="00EB01A7" w:rsidRPr="00EF329C">
        <w:rPr>
          <w:szCs w:val="24"/>
        </w:rPr>
        <w:t>compan</w:t>
      </w:r>
      <w:r w:rsidR="00054A5A">
        <w:rPr>
          <w:szCs w:val="24"/>
        </w:rPr>
        <w:t>ies</w:t>
      </w:r>
      <w:r w:rsidR="00EB01A7">
        <w:t xml:space="preserve"> </w:t>
      </w:r>
      <w:r w:rsidR="00054A5A">
        <w:t xml:space="preserve">and </w:t>
      </w:r>
      <w:r w:rsidR="00EB01A7">
        <w:t>pension fund</w:t>
      </w:r>
      <w:r w:rsidR="00054A5A">
        <w:t>s</w:t>
      </w:r>
      <w:r w:rsidR="00BE5CEA">
        <w:t>)</w:t>
      </w:r>
      <w:r w:rsidR="00D7334E">
        <w:t xml:space="preserve">. </w:t>
      </w:r>
      <w:r w:rsidR="00EB01A7">
        <w:t>A public offering</w:t>
      </w:r>
      <w:r w:rsidR="00BE5CEA">
        <w:t>,</w:t>
      </w:r>
      <w:r w:rsidR="00EB01A7">
        <w:t xml:space="preserve"> in contrast, is the sale of newly issued stock or bonds to the public</w:t>
      </w:r>
      <w:r w:rsidR="00BE5CEA">
        <w:t xml:space="preserve"> at large</w:t>
      </w:r>
      <w:r w:rsidR="00D7334E">
        <w:t xml:space="preserve">. </w:t>
      </w:r>
      <w:r w:rsidR="00EB01A7">
        <w:t xml:space="preserve">Firms typically rely on public offerings when they </w:t>
      </w:r>
      <w:r w:rsidR="00054A5A">
        <w:t xml:space="preserve">need </w:t>
      </w:r>
      <w:r w:rsidR="00EB01A7">
        <w:t xml:space="preserve">large sums. </w:t>
      </w:r>
    </w:p>
    <w:p w:rsidR="006418AB" w:rsidRDefault="001A4D40" w:rsidP="00EF329C">
      <w:pPr>
        <w:pStyle w:val="MCQList1"/>
        <w:keepNext w:val="0"/>
        <w:tabs>
          <w:tab w:val="clear" w:pos="274"/>
          <w:tab w:val="clear" w:pos="446"/>
        </w:tabs>
        <w:spacing w:before="0" w:after="240"/>
        <w:ind w:left="1008" w:hanging="576"/>
        <w:jc w:val="both"/>
      </w:pPr>
      <w:r>
        <w:t>2-6</w:t>
      </w:r>
      <w:r w:rsidR="006418AB">
        <w:t>.</w:t>
      </w:r>
      <w:r w:rsidR="006418AB">
        <w:tab/>
      </w:r>
      <w:r w:rsidR="00EB01A7">
        <w:t xml:space="preserve">The money market </w:t>
      </w:r>
      <w:r w:rsidR="00ED5EDC">
        <w:t>features trading in short-term, highly marketable debt instruments</w:t>
      </w:r>
      <w:r w:rsidR="004203D1">
        <w:t>; “s</w:t>
      </w:r>
      <w:r w:rsidR="00ED5EDC">
        <w:t xml:space="preserve">hort term” </w:t>
      </w:r>
      <w:r w:rsidR="004203D1">
        <w:t xml:space="preserve">here </w:t>
      </w:r>
      <w:r w:rsidR="00FB449C">
        <w:t xml:space="preserve">means </w:t>
      </w:r>
      <w:r w:rsidR="00ED5EDC">
        <w:t xml:space="preserve">an original </w:t>
      </w:r>
      <w:r w:rsidR="00ED5EDC" w:rsidRPr="00EF329C">
        <w:rPr>
          <w:szCs w:val="24"/>
        </w:rPr>
        <w:t>matu</w:t>
      </w:r>
      <w:r w:rsidR="00FB449C" w:rsidRPr="00EF329C">
        <w:rPr>
          <w:szCs w:val="24"/>
        </w:rPr>
        <w:t>rity</w:t>
      </w:r>
      <w:r w:rsidR="00FB449C">
        <w:t xml:space="preserve"> of one year or less. Money-</w:t>
      </w:r>
      <w:r w:rsidR="00ED5EDC">
        <w:t>market instruments typically carry low risk of capital losses</w:t>
      </w:r>
      <w:r w:rsidR="00D7334E">
        <w:t xml:space="preserve">. </w:t>
      </w:r>
      <w:r w:rsidR="00ED5EDC">
        <w:t xml:space="preserve">Examples of money-market instruments include </w:t>
      </w:r>
      <w:r w:rsidR="006418AB" w:rsidRPr="00ED5EDC">
        <w:t>U.S. Treasury bills, commercial paper, and negotiable certificates of deposit</w:t>
      </w:r>
      <w:r w:rsidR="00ED5EDC" w:rsidRPr="00ED5EDC">
        <w:t xml:space="preserve"> </w:t>
      </w:r>
      <w:r w:rsidR="00FB449C">
        <w:t>(</w:t>
      </w:r>
      <w:r w:rsidR="00ED5EDC" w:rsidRPr="00ED5EDC">
        <w:t>issued by large commercial banks</w:t>
      </w:r>
      <w:r w:rsidR="00FB449C">
        <w:t>)</w:t>
      </w:r>
      <w:r w:rsidR="00D7334E">
        <w:t xml:space="preserve">. </w:t>
      </w:r>
      <w:r w:rsidR="00725C94" w:rsidRPr="00ED5EDC">
        <w:t>The</w:t>
      </w:r>
      <w:r w:rsidR="00725C94" w:rsidRPr="00725C94">
        <w:t xml:space="preserve"> </w:t>
      </w:r>
      <w:r w:rsidR="00725C94" w:rsidRPr="00725C94">
        <w:rPr>
          <w:iCs/>
        </w:rPr>
        <w:t>Eurocurrency market</w:t>
      </w:r>
      <w:r w:rsidR="00725C94" w:rsidRPr="00725C94">
        <w:t xml:space="preserve"> </w:t>
      </w:r>
      <w:r w:rsidR="00725C94" w:rsidRPr="00ED5EDC">
        <w:t xml:space="preserve">is the international </w:t>
      </w:r>
      <w:r w:rsidR="00725C94">
        <w:t>analogue</w:t>
      </w:r>
      <w:r w:rsidR="00725C94" w:rsidRPr="00ED5EDC">
        <w:t xml:space="preserve"> of the U.S. money </w:t>
      </w:r>
      <w:r w:rsidR="00725C94" w:rsidRPr="00ED5EDC">
        <w:rPr>
          <w:spacing w:val="-2"/>
        </w:rPr>
        <w:t>market</w:t>
      </w:r>
      <w:r w:rsidR="00D7334E">
        <w:rPr>
          <w:spacing w:val="-2"/>
        </w:rPr>
        <w:t xml:space="preserve">. </w:t>
      </w:r>
      <w:r w:rsidR="00FB449C">
        <w:rPr>
          <w:spacing w:val="-2"/>
        </w:rPr>
        <w:t xml:space="preserve">This market features loans of </w:t>
      </w:r>
      <w:r w:rsidR="00725C94" w:rsidRPr="00725C94">
        <w:t xml:space="preserve">currency held in banks outside </w:t>
      </w:r>
      <w:r w:rsidR="00FB449C">
        <w:t xml:space="preserve">the </w:t>
      </w:r>
      <w:r w:rsidR="00725C94" w:rsidRPr="00725C94">
        <w:t xml:space="preserve">country where it is </w:t>
      </w:r>
      <w:hyperlink r:id="rId9" w:history="1">
        <w:r w:rsidR="00725C94" w:rsidRPr="00725C94">
          <w:t>legal tender</w:t>
        </w:r>
      </w:hyperlink>
      <w:r w:rsidR="00D7334E">
        <w:t xml:space="preserve">. </w:t>
      </w:r>
      <w:r w:rsidR="00FB449C">
        <w:t xml:space="preserve">Participants </w:t>
      </w:r>
      <w:r w:rsidR="00BE5CEA">
        <w:t xml:space="preserve">typically </w:t>
      </w:r>
      <w:r w:rsidR="00725C94">
        <w:t xml:space="preserve">use the Eurocurrency market to evade domestic </w:t>
      </w:r>
      <w:r w:rsidR="00725C94" w:rsidRPr="00725C94">
        <w:t>regulat</w:t>
      </w:r>
      <w:r w:rsidR="00FB449C">
        <w:t>ions and tax laws</w:t>
      </w:r>
      <w:r w:rsidR="00D7334E">
        <w:t xml:space="preserve">. </w:t>
      </w:r>
      <w:r w:rsidR="00FB449C">
        <w:t>The term</w:t>
      </w:r>
      <w:r w:rsidR="00725C94" w:rsidRPr="00725C94">
        <w:t xml:space="preserve"> </w:t>
      </w:r>
      <w:r w:rsidR="00FB449C">
        <w:t>stems from the European origin of this market</w:t>
      </w:r>
      <w:r w:rsidR="00BE5CEA">
        <w:t xml:space="preserve">; </w:t>
      </w:r>
      <w:r w:rsidR="00FB449C">
        <w:t xml:space="preserve">“Eurocurrency” </w:t>
      </w:r>
      <w:r w:rsidR="00725C94" w:rsidRPr="00725C94">
        <w:t xml:space="preserve">has nothing to do with the </w:t>
      </w:r>
      <w:r w:rsidR="00946907">
        <w:t>e</w:t>
      </w:r>
      <w:r w:rsidR="00725C94" w:rsidRPr="00725C94">
        <w:t>uro</w:t>
      </w:r>
      <w:r w:rsidR="00FB449C">
        <w:t xml:space="preserve"> </w:t>
      </w:r>
      <w:r w:rsidR="00FB449C">
        <w:rPr>
          <w:i/>
        </w:rPr>
        <w:t>per se</w:t>
      </w:r>
      <w:r w:rsidR="00FB449C">
        <w:t xml:space="preserve"> and is no longer specific to Europe</w:t>
      </w:r>
      <w:r w:rsidR="006418AB" w:rsidRPr="00ED5EDC">
        <w:rPr>
          <w:spacing w:val="-2"/>
        </w:rPr>
        <w:t>.</w:t>
      </w:r>
    </w:p>
    <w:p w:rsidR="006418AB" w:rsidRDefault="004203D1" w:rsidP="00EF329C">
      <w:pPr>
        <w:pStyle w:val="MCQList1"/>
        <w:keepNext w:val="0"/>
        <w:tabs>
          <w:tab w:val="clear" w:pos="274"/>
          <w:tab w:val="clear" w:pos="446"/>
        </w:tabs>
        <w:spacing w:before="0" w:after="240"/>
        <w:ind w:left="1008" w:hanging="576"/>
        <w:jc w:val="both"/>
      </w:pPr>
      <w:r>
        <w:rPr>
          <w:szCs w:val="24"/>
        </w:rPr>
        <w:lastRenderedPageBreak/>
        <w:t>2-7</w:t>
      </w:r>
      <w:r w:rsidR="006418AB">
        <w:rPr>
          <w:szCs w:val="24"/>
        </w:rPr>
        <w:t>.</w:t>
      </w:r>
      <w:r w:rsidR="006418AB">
        <w:rPr>
          <w:szCs w:val="24"/>
        </w:rPr>
        <w:tab/>
        <w:t xml:space="preserve">The </w:t>
      </w:r>
      <w:r w:rsidR="006418AB" w:rsidRPr="004203D1">
        <w:rPr>
          <w:iCs/>
          <w:szCs w:val="24"/>
        </w:rPr>
        <w:t>capital market</w:t>
      </w:r>
      <w:r w:rsidR="006418AB" w:rsidRPr="004203D1">
        <w:rPr>
          <w:szCs w:val="24"/>
        </w:rPr>
        <w:t xml:space="preserve"> </w:t>
      </w:r>
      <w:r>
        <w:rPr>
          <w:szCs w:val="24"/>
        </w:rPr>
        <w:t>features trading in instruments</w:t>
      </w:r>
      <w:r w:rsidR="009613AF">
        <w:rPr>
          <w:szCs w:val="24"/>
        </w:rPr>
        <w:t xml:space="preserve"> with </w:t>
      </w:r>
      <w:r>
        <w:rPr>
          <w:szCs w:val="24"/>
        </w:rPr>
        <w:t>original maturit</w:t>
      </w:r>
      <w:r w:rsidR="0077670B">
        <w:rPr>
          <w:szCs w:val="24"/>
        </w:rPr>
        <w:t>ies</w:t>
      </w:r>
      <w:r>
        <w:rPr>
          <w:szCs w:val="24"/>
        </w:rPr>
        <w:t xml:space="preserve"> </w:t>
      </w:r>
      <w:r w:rsidR="009613AF">
        <w:rPr>
          <w:szCs w:val="24"/>
        </w:rPr>
        <w:t>exceeding one yea</w:t>
      </w:r>
      <w:r w:rsidR="00AF123D">
        <w:rPr>
          <w:szCs w:val="24"/>
        </w:rPr>
        <w:t>r</w:t>
      </w:r>
      <w:r w:rsidR="009613AF">
        <w:rPr>
          <w:szCs w:val="24"/>
        </w:rPr>
        <w:t xml:space="preserve"> such as </w:t>
      </w:r>
      <w:r w:rsidR="006418AB">
        <w:rPr>
          <w:szCs w:val="24"/>
        </w:rPr>
        <w:t>bonds</w:t>
      </w:r>
      <w:r w:rsidR="003D3974">
        <w:rPr>
          <w:szCs w:val="24"/>
        </w:rPr>
        <w:t xml:space="preserve"> and stock (</w:t>
      </w:r>
      <w:r>
        <w:rPr>
          <w:szCs w:val="24"/>
        </w:rPr>
        <w:t>common and preferred</w:t>
      </w:r>
      <w:r w:rsidR="003D3974">
        <w:rPr>
          <w:szCs w:val="24"/>
        </w:rPr>
        <w:t>)</w:t>
      </w:r>
      <w:r w:rsidR="00D7334E">
        <w:rPr>
          <w:szCs w:val="24"/>
        </w:rPr>
        <w:t xml:space="preserve">. </w:t>
      </w:r>
      <w:r w:rsidR="000F0A40">
        <w:rPr>
          <w:szCs w:val="24"/>
        </w:rPr>
        <w:t>Capital-market instruments are exchanged i</w:t>
      </w:r>
      <w:r w:rsidR="001B7593">
        <w:rPr>
          <w:szCs w:val="24"/>
        </w:rPr>
        <w:t xml:space="preserve">n </w:t>
      </w:r>
      <w:r w:rsidR="000F0A40">
        <w:rPr>
          <w:szCs w:val="24"/>
        </w:rPr>
        <w:t>broker and dealer markets</w:t>
      </w:r>
      <w:r w:rsidR="00D7334E">
        <w:rPr>
          <w:szCs w:val="24"/>
        </w:rPr>
        <w:t xml:space="preserve">. </w:t>
      </w:r>
      <w:r w:rsidR="007233B8">
        <w:rPr>
          <w:szCs w:val="24"/>
        </w:rPr>
        <w:t>In broker markets, a</w:t>
      </w:r>
      <w:r w:rsidR="000F0A40">
        <w:rPr>
          <w:szCs w:val="24"/>
        </w:rPr>
        <w:t xml:space="preserve"> </w:t>
      </w:r>
      <w:r w:rsidR="007233B8">
        <w:rPr>
          <w:szCs w:val="24"/>
        </w:rPr>
        <w:t>broker coordinates</w:t>
      </w:r>
      <w:r w:rsidR="001B7593">
        <w:rPr>
          <w:szCs w:val="24"/>
        </w:rPr>
        <w:t xml:space="preserve"> buy and sell orders</w:t>
      </w:r>
      <w:r w:rsidR="009613AF">
        <w:rPr>
          <w:szCs w:val="24"/>
        </w:rPr>
        <w:t xml:space="preserve">, </w:t>
      </w:r>
      <w:r w:rsidR="001B7593">
        <w:rPr>
          <w:szCs w:val="24"/>
        </w:rPr>
        <w:t>execut</w:t>
      </w:r>
      <w:r w:rsidR="009613AF">
        <w:rPr>
          <w:szCs w:val="24"/>
        </w:rPr>
        <w:t>ing</w:t>
      </w:r>
      <w:r w:rsidR="001B7593">
        <w:rPr>
          <w:szCs w:val="24"/>
        </w:rPr>
        <w:t xml:space="preserve"> trade</w:t>
      </w:r>
      <w:r w:rsidR="009613AF">
        <w:rPr>
          <w:szCs w:val="24"/>
        </w:rPr>
        <w:t>s</w:t>
      </w:r>
      <w:r w:rsidR="001B7593">
        <w:rPr>
          <w:szCs w:val="24"/>
        </w:rPr>
        <w:t xml:space="preserve"> at the midpoint of the bid/ask spread (the </w:t>
      </w:r>
      <w:r w:rsidR="007233B8">
        <w:rPr>
          <w:szCs w:val="24"/>
        </w:rPr>
        <w:t>highest price a buyer is willing to pay minus the lowest price a seller is willing to accept)</w:t>
      </w:r>
      <w:r w:rsidR="00D7334E">
        <w:rPr>
          <w:szCs w:val="24"/>
        </w:rPr>
        <w:t xml:space="preserve">. </w:t>
      </w:r>
      <w:r w:rsidR="000F0A40">
        <w:rPr>
          <w:szCs w:val="24"/>
        </w:rPr>
        <w:t xml:space="preserve">The best known broker market is the NYSE, which accounts for </w:t>
      </w:r>
      <w:r w:rsidR="002C2270">
        <w:rPr>
          <w:szCs w:val="24"/>
        </w:rPr>
        <w:t>more than 25</w:t>
      </w:r>
      <w:r w:rsidR="00946907">
        <w:rPr>
          <w:szCs w:val="24"/>
        </w:rPr>
        <w:t>%</w:t>
      </w:r>
      <w:r w:rsidR="002C2270">
        <w:rPr>
          <w:szCs w:val="24"/>
        </w:rPr>
        <w:t xml:space="preserve"> of stock-market trades</w:t>
      </w:r>
      <w:r w:rsidR="00D7334E">
        <w:rPr>
          <w:szCs w:val="24"/>
        </w:rPr>
        <w:t xml:space="preserve">. </w:t>
      </w:r>
      <w:r w:rsidR="007233B8">
        <w:rPr>
          <w:szCs w:val="24"/>
        </w:rPr>
        <w:t>In dealer market</w:t>
      </w:r>
      <w:r w:rsidR="00C67296">
        <w:rPr>
          <w:szCs w:val="24"/>
        </w:rPr>
        <w:t>s</w:t>
      </w:r>
      <w:r w:rsidR="007233B8">
        <w:rPr>
          <w:szCs w:val="24"/>
        </w:rPr>
        <w:t xml:space="preserve">, a market maker executes buy and sell orders </w:t>
      </w:r>
      <w:r w:rsidR="009613AF">
        <w:rPr>
          <w:szCs w:val="24"/>
        </w:rPr>
        <w:t xml:space="preserve">using her personal </w:t>
      </w:r>
      <w:r w:rsidR="007233B8">
        <w:rPr>
          <w:szCs w:val="24"/>
        </w:rPr>
        <w:t>inventory</w:t>
      </w:r>
      <w:r w:rsidR="000F0A40">
        <w:rPr>
          <w:szCs w:val="24"/>
        </w:rPr>
        <w:t xml:space="preserve"> </w:t>
      </w:r>
      <w:r w:rsidR="009613AF">
        <w:rPr>
          <w:szCs w:val="24"/>
        </w:rPr>
        <w:t>and</w:t>
      </w:r>
      <w:r w:rsidR="000F0A40">
        <w:rPr>
          <w:szCs w:val="24"/>
        </w:rPr>
        <w:t xml:space="preserve"> two distinct trades</w:t>
      </w:r>
      <w:r w:rsidR="00D7334E">
        <w:rPr>
          <w:szCs w:val="24"/>
        </w:rPr>
        <w:t xml:space="preserve">. </w:t>
      </w:r>
      <w:r w:rsidR="00AF123D">
        <w:rPr>
          <w:szCs w:val="24"/>
        </w:rPr>
        <w:t>For example</w:t>
      </w:r>
      <w:r w:rsidR="000F0A40">
        <w:rPr>
          <w:szCs w:val="24"/>
        </w:rPr>
        <w:t>,</w:t>
      </w:r>
      <w:r w:rsidR="00382F55">
        <w:rPr>
          <w:szCs w:val="24"/>
        </w:rPr>
        <w:t xml:space="preserve"> </w:t>
      </w:r>
      <w:r w:rsidR="00C67296">
        <w:rPr>
          <w:szCs w:val="24"/>
        </w:rPr>
        <w:t>an</w:t>
      </w:r>
      <w:r w:rsidR="002C466A">
        <w:rPr>
          <w:szCs w:val="24"/>
        </w:rPr>
        <w:t xml:space="preserve"> investor </w:t>
      </w:r>
      <w:r w:rsidR="00AF123D">
        <w:rPr>
          <w:szCs w:val="24"/>
        </w:rPr>
        <w:t xml:space="preserve">might </w:t>
      </w:r>
      <w:r w:rsidR="002C466A">
        <w:rPr>
          <w:szCs w:val="24"/>
        </w:rPr>
        <w:t xml:space="preserve">sell </w:t>
      </w:r>
      <w:r w:rsidR="00382F55">
        <w:rPr>
          <w:szCs w:val="24"/>
        </w:rPr>
        <w:t xml:space="preserve">the dealer </w:t>
      </w:r>
      <w:r w:rsidR="003D3974">
        <w:rPr>
          <w:szCs w:val="24"/>
        </w:rPr>
        <w:t>Microsoft stock</w:t>
      </w:r>
      <w:r w:rsidR="002C466A">
        <w:rPr>
          <w:szCs w:val="24"/>
        </w:rPr>
        <w:t xml:space="preserve"> at </w:t>
      </w:r>
      <w:r w:rsidR="00382F55">
        <w:rPr>
          <w:szCs w:val="24"/>
        </w:rPr>
        <w:t xml:space="preserve">the </w:t>
      </w:r>
      <w:r w:rsidR="002C466A">
        <w:rPr>
          <w:szCs w:val="24"/>
        </w:rPr>
        <w:t>bid</w:t>
      </w:r>
      <w:r w:rsidR="00382F55">
        <w:rPr>
          <w:szCs w:val="24"/>
        </w:rPr>
        <w:t xml:space="preserve"> price and then, in an independent transaction, </w:t>
      </w:r>
      <w:r w:rsidR="002C466A">
        <w:rPr>
          <w:szCs w:val="24"/>
        </w:rPr>
        <w:t xml:space="preserve">another investor </w:t>
      </w:r>
      <w:r w:rsidR="00AF123D">
        <w:rPr>
          <w:szCs w:val="24"/>
        </w:rPr>
        <w:t xml:space="preserve">would </w:t>
      </w:r>
      <w:r w:rsidR="002C466A">
        <w:rPr>
          <w:szCs w:val="24"/>
        </w:rPr>
        <w:t xml:space="preserve">buy Microsoft stock from the dealer at </w:t>
      </w:r>
      <w:r w:rsidR="00382F55">
        <w:rPr>
          <w:szCs w:val="24"/>
        </w:rPr>
        <w:t xml:space="preserve">the </w:t>
      </w:r>
      <w:r w:rsidR="002C466A">
        <w:rPr>
          <w:szCs w:val="24"/>
        </w:rPr>
        <w:t>ask price</w:t>
      </w:r>
      <w:r w:rsidR="00D7334E">
        <w:rPr>
          <w:szCs w:val="24"/>
        </w:rPr>
        <w:t xml:space="preserve">. </w:t>
      </w:r>
      <w:r w:rsidR="00C67296">
        <w:t>“</w:t>
      </w:r>
      <w:r w:rsidR="003D3974">
        <w:t>Ask</w:t>
      </w:r>
      <w:r w:rsidR="00C67296">
        <w:t>”</w:t>
      </w:r>
      <w:r w:rsidR="003D3974">
        <w:t xml:space="preserve"> </w:t>
      </w:r>
      <w:r w:rsidR="000F0A40">
        <w:t xml:space="preserve">exceeds </w:t>
      </w:r>
      <w:r w:rsidR="00C67296">
        <w:t>“</w:t>
      </w:r>
      <w:r w:rsidR="003D3974">
        <w:t>bid</w:t>
      </w:r>
      <w:r w:rsidR="00C67296">
        <w:t>,”</w:t>
      </w:r>
      <w:r w:rsidR="003D3974">
        <w:t xml:space="preserve"> so the dealer’s reward for maintaining an inventory of Microsoft stock is the opportunity to “buy low, sell high.”</w:t>
      </w:r>
      <w:r w:rsidR="00946907">
        <w:t xml:space="preserve"> </w:t>
      </w:r>
      <w:r w:rsidR="003D3974">
        <w:t xml:space="preserve">The difference, in short, between broker and dealer markets </w:t>
      </w:r>
      <w:r w:rsidR="00E353B1">
        <w:t>turns on wh</w:t>
      </w:r>
      <w:r w:rsidR="009613AF">
        <w:t>ether traders or dealers provide the</w:t>
      </w:r>
      <w:r w:rsidR="00E353B1">
        <w:t xml:space="preserve"> liquidity</w:t>
      </w:r>
      <w:r w:rsidR="009613AF">
        <w:t>.</w:t>
      </w:r>
    </w:p>
    <w:p w:rsidR="006418AB" w:rsidRDefault="0077670B" w:rsidP="00EF329C">
      <w:pPr>
        <w:pStyle w:val="MCQList1"/>
        <w:keepNext w:val="0"/>
        <w:tabs>
          <w:tab w:val="clear" w:pos="274"/>
          <w:tab w:val="clear" w:pos="446"/>
        </w:tabs>
        <w:spacing w:before="0" w:after="240"/>
        <w:ind w:left="1008" w:hanging="576"/>
        <w:jc w:val="both"/>
      </w:pPr>
      <w:r>
        <w:t>2-8</w:t>
      </w:r>
      <w:r w:rsidR="006418AB">
        <w:tab/>
      </w:r>
      <w:r w:rsidR="004D1A42">
        <w:t xml:space="preserve">Firms see </w:t>
      </w:r>
      <w:r w:rsidR="00531692">
        <w:t xml:space="preserve">the capital market </w:t>
      </w:r>
      <w:r w:rsidR="004D1A42">
        <w:t xml:space="preserve">as a source of </w:t>
      </w:r>
      <w:r w:rsidR="00531692">
        <w:t>external finance for long-term projects</w:t>
      </w:r>
      <w:r w:rsidR="00D7334E">
        <w:t xml:space="preserve">. </w:t>
      </w:r>
      <w:r w:rsidR="00557CF0">
        <w:t xml:space="preserve">Put another way, </w:t>
      </w:r>
      <w:r w:rsidR="004D1A42">
        <w:t>they</w:t>
      </w:r>
      <w:r w:rsidR="00531692">
        <w:t xml:space="preserve"> sell </w:t>
      </w:r>
      <w:r w:rsidR="00694ECC">
        <w:t xml:space="preserve">new </w:t>
      </w:r>
      <w:r w:rsidR="00531692">
        <w:t xml:space="preserve">bonds and stock to raise funds to build factories, launch marketing campaigns, and </w:t>
      </w:r>
      <w:r w:rsidR="00694ECC">
        <w:t xml:space="preserve">expand into </w:t>
      </w:r>
      <w:r w:rsidR="00531692">
        <w:t>new markets</w:t>
      </w:r>
      <w:r w:rsidR="00D7334E">
        <w:t xml:space="preserve">. </w:t>
      </w:r>
      <w:r w:rsidR="00531692">
        <w:t xml:space="preserve">Accordingly, </w:t>
      </w:r>
      <w:r w:rsidR="00557CF0">
        <w:t>they</w:t>
      </w:r>
      <w:r w:rsidR="00531692">
        <w:t xml:space="preserve"> want </w:t>
      </w:r>
      <w:r w:rsidR="00557CF0">
        <w:t xml:space="preserve">a </w:t>
      </w:r>
      <w:r w:rsidR="004D1A42">
        <w:t xml:space="preserve">liquid </w:t>
      </w:r>
      <w:r w:rsidR="00531692">
        <w:t>market</w:t>
      </w:r>
      <w:r w:rsidR="00946907">
        <w:t>—</w:t>
      </w:r>
      <w:r w:rsidR="00557CF0">
        <w:t>one</w:t>
      </w:r>
      <w:r w:rsidR="007D4DAE">
        <w:t xml:space="preserve"> “</w:t>
      </w:r>
      <w:r w:rsidR="00531692">
        <w:t>deep</w:t>
      </w:r>
      <w:r w:rsidR="007D4DAE">
        <w:t>”</w:t>
      </w:r>
      <w:r w:rsidR="00531692">
        <w:t xml:space="preserve"> enough to accept new</w:t>
      </w:r>
      <w:r w:rsidR="00D31E6E">
        <w:t>ly issued</w:t>
      </w:r>
      <w:r w:rsidR="00531692">
        <w:t xml:space="preserve"> securities at favorable prices</w:t>
      </w:r>
      <w:r w:rsidR="00D7334E">
        <w:t xml:space="preserve">. </w:t>
      </w:r>
      <w:r w:rsidR="004D1A42">
        <w:t xml:space="preserve">Investors, in contrast, see </w:t>
      </w:r>
      <w:r w:rsidR="00531692">
        <w:t xml:space="preserve">the capital market </w:t>
      </w:r>
      <w:r w:rsidR="004D1A42">
        <w:t xml:space="preserve">as a </w:t>
      </w:r>
      <w:r w:rsidR="007D4DAE">
        <w:t xml:space="preserve">savings </w:t>
      </w:r>
      <w:r w:rsidR="00D31E6E">
        <w:t xml:space="preserve">vehicle for </w:t>
      </w:r>
      <w:r w:rsidR="008A6CC0">
        <w:t xml:space="preserve">long-term needs </w:t>
      </w:r>
      <w:r w:rsidR="008A6CC0" w:rsidRPr="00EF329C">
        <w:rPr>
          <w:szCs w:val="24"/>
        </w:rPr>
        <w:t>like</w:t>
      </w:r>
      <w:r w:rsidR="008A6CC0">
        <w:t xml:space="preserve"> retirement</w:t>
      </w:r>
      <w:r w:rsidR="00D7334E">
        <w:t xml:space="preserve">. </w:t>
      </w:r>
      <w:r w:rsidR="008A6CC0">
        <w:t xml:space="preserve">As citizens of the </w:t>
      </w:r>
      <w:proofErr w:type="spellStart"/>
      <w:r w:rsidR="008A6CC0">
        <w:t>macroeconomy</w:t>
      </w:r>
      <w:proofErr w:type="spellEnd"/>
      <w:r w:rsidR="008A6CC0">
        <w:t xml:space="preserve">, investors would also like </w:t>
      </w:r>
      <w:r w:rsidR="007D4DAE">
        <w:t xml:space="preserve">the </w:t>
      </w:r>
      <w:r w:rsidR="008A6CC0">
        <w:t>capital m</w:t>
      </w:r>
      <w:r w:rsidR="007D4DAE">
        <w:t>arket</w:t>
      </w:r>
      <w:r w:rsidR="008A6CC0">
        <w:t xml:space="preserve"> to steer scarce funds to the most productive uses</w:t>
      </w:r>
      <w:r w:rsidR="00D7334E">
        <w:t xml:space="preserve">. </w:t>
      </w:r>
      <w:r w:rsidR="008A6CC0">
        <w:t xml:space="preserve">To these ends, investors </w:t>
      </w:r>
      <w:r w:rsidR="00557CF0">
        <w:t xml:space="preserve">want an efficient </w:t>
      </w:r>
      <w:r w:rsidR="008A6CC0">
        <w:t>capital market</w:t>
      </w:r>
      <w:r w:rsidR="00946907">
        <w:t>—</w:t>
      </w:r>
      <w:r w:rsidR="004D1A42">
        <w:t xml:space="preserve">one </w:t>
      </w:r>
      <w:r w:rsidR="007D4DAE">
        <w:t xml:space="preserve">where </w:t>
      </w:r>
      <w:r w:rsidR="00557CF0">
        <w:t xml:space="preserve">securities </w:t>
      </w:r>
      <w:r w:rsidR="00986E2A">
        <w:t xml:space="preserve">prices </w:t>
      </w:r>
      <w:r w:rsidR="008A6CC0">
        <w:t xml:space="preserve">reflect </w:t>
      </w:r>
      <w:r w:rsidR="00986E2A">
        <w:t>all available information and react swiftly to new information</w:t>
      </w:r>
      <w:r w:rsidR="00D7334E">
        <w:t xml:space="preserve">. </w:t>
      </w:r>
      <w:r w:rsidR="007D4DAE">
        <w:t xml:space="preserve">Capital-market efficiency means </w:t>
      </w:r>
      <w:r w:rsidR="003506AB">
        <w:t xml:space="preserve">investors need not waste time trying to identify over or undervalued securities or exploitable </w:t>
      </w:r>
      <w:r w:rsidR="004D1A42">
        <w:t>patterns</w:t>
      </w:r>
      <w:r w:rsidR="003506AB">
        <w:t xml:space="preserve"> in </w:t>
      </w:r>
      <w:r w:rsidR="007D4DAE">
        <w:t>securities</w:t>
      </w:r>
      <w:r w:rsidR="003506AB">
        <w:t xml:space="preserve"> prices</w:t>
      </w:r>
      <w:r w:rsidR="00D7334E">
        <w:t xml:space="preserve">. </w:t>
      </w:r>
      <w:r w:rsidR="00583041">
        <w:t xml:space="preserve">Instead, they can </w:t>
      </w:r>
      <w:r w:rsidR="007D4DAE">
        <w:t xml:space="preserve">maximize </w:t>
      </w:r>
      <w:r w:rsidR="00986E2A">
        <w:t>long-term return</w:t>
      </w:r>
      <w:r w:rsidR="007D4DAE">
        <w:t>s</w:t>
      </w:r>
      <w:r w:rsidR="00986E2A">
        <w:t xml:space="preserve"> by putting their savings in diversified mutual fund</w:t>
      </w:r>
      <w:r w:rsidR="00643CE2">
        <w:t>s</w:t>
      </w:r>
      <w:r w:rsidR="00986E2A">
        <w:t xml:space="preserve"> (i.e., </w:t>
      </w:r>
      <w:r w:rsidR="00583041">
        <w:t xml:space="preserve">avoiding </w:t>
      </w:r>
      <w:r w:rsidR="00643CE2">
        <w:t>countless hours studying individual stocks and bonds)</w:t>
      </w:r>
      <w:r w:rsidR="00D7334E">
        <w:t xml:space="preserve">. </w:t>
      </w:r>
      <w:r w:rsidR="00643CE2">
        <w:t xml:space="preserve">Investors will also </w:t>
      </w:r>
      <w:r w:rsidR="00C71A64">
        <w:t xml:space="preserve">enjoy higher aggregate growth of output and employment from the spotlight </w:t>
      </w:r>
      <w:r w:rsidR="00D31E6E">
        <w:t xml:space="preserve">securities </w:t>
      </w:r>
      <w:r w:rsidR="00643CE2">
        <w:t>price</w:t>
      </w:r>
      <w:r w:rsidR="00D31E6E">
        <w:t xml:space="preserve">s </w:t>
      </w:r>
      <w:r w:rsidR="00C71A64">
        <w:t xml:space="preserve">shine on </w:t>
      </w:r>
      <w:r w:rsidR="002B3AD8">
        <w:t xml:space="preserve">firms most able to </w:t>
      </w:r>
      <w:r w:rsidR="00643CE2">
        <w:t>profitably use their savings</w:t>
      </w:r>
      <w:r w:rsidR="00D7334E">
        <w:t xml:space="preserve">. </w:t>
      </w:r>
    </w:p>
    <w:p w:rsidR="006E1D00" w:rsidRDefault="006E1D00" w:rsidP="00EF329C">
      <w:pPr>
        <w:pStyle w:val="MCQList1"/>
        <w:keepNext w:val="0"/>
        <w:tabs>
          <w:tab w:val="clear" w:pos="274"/>
          <w:tab w:val="clear" w:pos="446"/>
        </w:tabs>
        <w:spacing w:before="0" w:after="240"/>
        <w:ind w:left="1008" w:hanging="576"/>
        <w:jc w:val="both"/>
      </w:pPr>
      <w:r>
        <w:t>2-9</w:t>
      </w:r>
      <w:r>
        <w:tab/>
      </w:r>
      <w:proofErr w:type="gramStart"/>
      <w:r w:rsidR="008D3F68">
        <w:t>The</w:t>
      </w:r>
      <w:proofErr w:type="gramEnd"/>
      <w:r w:rsidR="008D3F68">
        <w:t xml:space="preserve"> first years of Great Depression </w:t>
      </w:r>
      <w:r w:rsidR="001717A1">
        <w:t>featured</w:t>
      </w:r>
      <w:r w:rsidR="008D3F68">
        <w:t xml:space="preserve"> the worst </w:t>
      </w:r>
      <w:r w:rsidR="001717A1">
        <w:t>contraction</w:t>
      </w:r>
      <w:r w:rsidR="008D3F68">
        <w:t xml:space="preserve"> in American history</w:t>
      </w:r>
      <w:r w:rsidR="00D7334E">
        <w:t xml:space="preserve">. </w:t>
      </w:r>
      <w:r w:rsidR="008D3F68">
        <w:t xml:space="preserve">Between August 1929 and March 1933, industrial production fell </w:t>
      </w:r>
      <w:r w:rsidR="004D1A42">
        <w:t>52</w:t>
      </w:r>
      <w:r w:rsidR="00946907">
        <w:t>%</w:t>
      </w:r>
      <w:r w:rsidR="008D3F68">
        <w:t xml:space="preserve">, the Dow Jones Industrial Average </w:t>
      </w:r>
      <w:r w:rsidR="004D1A42">
        <w:t>tumbled</w:t>
      </w:r>
      <w:r w:rsidR="008D3F68">
        <w:t xml:space="preserve"> 89</w:t>
      </w:r>
      <w:r w:rsidR="00946907">
        <w:t>%</w:t>
      </w:r>
      <w:r w:rsidR="008D3F68">
        <w:t xml:space="preserve">, unemployment </w:t>
      </w:r>
      <w:r w:rsidR="004D1A42">
        <w:t>soared to nearly 25</w:t>
      </w:r>
      <w:r w:rsidR="00946907">
        <w:t>%</w:t>
      </w:r>
      <w:r w:rsidR="008D3F68">
        <w:t xml:space="preserve">, and </w:t>
      </w:r>
      <w:r w:rsidR="00D52BB7">
        <w:t xml:space="preserve">roughly 9,000 banks </w:t>
      </w:r>
      <w:r w:rsidR="009E7983">
        <w:t xml:space="preserve">failed </w:t>
      </w:r>
      <w:r w:rsidR="00D52BB7">
        <w:t>(37</w:t>
      </w:r>
      <w:r w:rsidR="00946907">
        <w:t>%</w:t>
      </w:r>
      <w:r w:rsidR="00D52BB7">
        <w:t xml:space="preserve"> of those operating in December 1929)</w:t>
      </w:r>
      <w:r w:rsidR="00D7334E">
        <w:t xml:space="preserve">. </w:t>
      </w:r>
      <w:r w:rsidR="00D52BB7">
        <w:t xml:space="preserve">Franklin Roosevelt </w:t>
      </w:r>
      <w:r w:rsidR="00761CC5">
        <w:t xml:space="preserve">won the </w:t>
      </w:r>
      <w:r w:rsidR="00D52BB7">
        <w:t xml:space="preserve">1932 </w:t>
      </w:r>
      <w:r w:rsidR="004D1A42">
        <w:t xml:space="preserve">election </w:t>
      </w:r>
      <w:r w:rsidR="00D52BB7">
        <w:t xml:space="preserve">with a mandate to </w:t>
      </w:r>
      <w:r w:rsidR="001717A1">
        <w:t xml:space="preserve">restore prosperity and </w:t>
      </w:r>
      <w:r w:rsidR="00BC1DB0">
        <w:t xml:space="preserve">prevent </w:t>
      </w:r>
      <w:r w:rsidR="00B5659E">
        <w:t>future</w:t>
      </w:r>
      <w:r w:rsidR="00BC1DB0">
        <w:t xml:space="preserve"> depression</w:t>
      </w:r>
      <w:r w:rsidR="00B5659E">
        <w:t>s</w:t>
      </w:r>
      <w:r w:rsidR="00D7334E">
        <w:t xml:space="preserve">. </w:t>
      </w:r>
      <w:r w:rsidR="001717A1">
        <w:t>Much of the U.S. framew</w:t>
      </w:r>
      <w:r w:rsidR="00BC1DB0">
        <w:t>ork for financial and financial-</w:t>
      </w:r>
      <w:r w:rsidR="001717A1">
        <w:t>institution regulation stems from the First New Deal (1933</w:t>
      </w:r>
      <w:r w:rsidR="00946907">
        <w:t>–</w:t>
      </w:r>
      <w:r w:rsidR="001717A1">
        <w:t>34)</w:t>
      </w:r>
      <w:r w:rsidR="00D7334E">
        <w:t xml:space="preserve">. </w:t>
      </w:r>
      <w:r w:rsidR="00BC1DB0">
        <w:t xml:space="preserve">This framework addressed </w:t>
      </w:r>
      <w:r w:rsidR="001717A1">
        <w:t xml:space="preserve">specific factors thought to have </w:t>
      </w:r>
      <w:r w:rsidR="00B5659E">
        <w:t xml:space="preserve">caused </w:t>
      </w:r>
      <w:r w:rsidR="001717A1">
        <w:t xml:space="preserve">the </w:t>
      </w:r>
      <w:r w:rsidR="00761CC5">
        <w:t>slump</w:t>
      </w:r>
      <w:r w:rsidR="00D7334E">
        <w:t xml:space="preserve">. </w:t>
      </w:r>
      <w:r w:rsidR="004D1A42">
        <w:t>T</w:t>
      </w:r>
      <w:r w:rsidR="00BC1DB0">
        <w:t xml:space="preserve">o </w:t>
      </w:r>
      <w:r w:rsidR="00B5659E">
        <w:t>protect</w:t>
      </w:r>
      <w:r w:rsidR="00BC1DB0">
        <w:t xml:space="preserve"> depositors </w:t>
      </w:r>
      <w:r w:rsidR="00B5659E">
        <w:t>from</w:t>
      </w:r>
      <w:r w:rsidR="00BC1DB0">
        <w:t xml:space="preserve"> </w:t>
      </w:r>
      <w:r w:rsidR="00B5659E">
        <w:t xml:space="preserve">losses in </w:t>
      </w:r>
      <w:r w:rsidR="00BC1DB0">
        <w:t>bank</w:t>
      </w:r>
      <w:r w:rsidR="00B5659E">
        <w:t xml:space="preserve"> failures</w:t>
      </w:r>
      <w:r w:rsidR="00BC1DB0">
        <w:t>, the Banking Act of 1933 created federal deposit insurance</w:t>
      </w:r>
      <w:r w:rsidR="00D7334E">
        <w:t xml:space="preserve">. </w:t>
      </w:r>
      <w:r w:rsidR="00B5659E">
        <w:t>To prevent failures in the first place, t</w:t>
      </w:r>
      <w:r w:rsidR="00BC1DB0">
        <w:t>h</w:t>
      </w:r>
      <w:r w:rsidR="008F04B2">
        <w:t>e</w:t>
      </w:r>
      <w:r w:rsidR="00BC1DB0">
        <w:t xml:space="preserve"> </w:t>
      </w:r>
      <w:r w:rsidR="0037548F">
        <w:t>A</w:t>
      </w:r>
      <w:r w:rsidR="00BC1DB0">
        <w:t>ct also bar</w:t>
      </w:r>
      <w:r w:rsidR="0037548F">
        <w:t>red</w:t>
      </w:r>
      <w:r w:rsidR="00BC1DB0">
        <w:t xml:space="preserve"> commercial banks from </w:t>
      </w:r>
      <w:r w:rsidR="00761CC5">
        <w:t xml:space="preserve">security </w:t>
      </w:r>
      <w:r w:rsidR="00B5659E">
        <w:t>underwriting, which was thought to pose dangerous additional risks</w:t>
      </w:r>
      <w:r w:rsidR="00D7334E">
        <w:t xml:space="preserve">. </w:t>
      </w:r>
      <w:r w:rsidR="00761CC5">
        <w:t>T</w:t>
      </w:r>
      <w:r w:rsidR="004C3B1C">
        <w:t xml:space="preserve">o </w:t>
      </w:r>
      <w:r w:rsidR="00761CC5">
        <w:t xml:space="preserve">head off </w:t>
      </w:r>
      <w:r w:rsidR="004C3B1C">
        <w:t xml:space="preserve">fraudulent investment schemes </w:t>
      </w:r>
      <w:r w:rsidR="00761CC5">
        <w:t xml:space="preserve">like those </w:t>
      </w:r>
      <w:r w:rsidR="004C3B1C">
        <w:t>preced</w:t>
      </w:r>
      <w:r w:rsidR="00761CC5">
        <w:t>ing</w:t>
      </w:r>
      <w:r w:rsidR="001368E4">
        <w:t xml:space="preserve"> the stock-</w:t>
      </w:r>
      <w:r w:rsidR="004C3B1C">
        <w:t xml:space="preserve">market crash of 1929, </w:t>
      </w:r>
      <w:r w:rsidR="00D9292D">
        <w:t>the Securities Act of 1933 and Securities Exchange Act of 1934 force</w:t>
      </w:r>
      <w:r w:rsidR="00B5659E">
        <w:t>d</w:t>
      </w:r>
      <w:r w:rsidR="00D9292D">
        <w:t xml:space="preserve"> companies wishing to issue </w:t>
      </w:r>
      <w:r w:rsidR="001368E4">
        <w:t xml:space="preserve">public </w:t>
      </w:r>
      <w:r w:rsidR="00D9292D">
        <w:t xml:space="preserve">securities </w:t>
      </w:r>
      <w:r w:rsidR="009E7983">
        <w:t>to disclose information</w:t>
      </w:r>
      <w:r w:rsidR="008F04B2">
        <w:t xml:space="preserve"> about </w:t>
      </w:r>
      <w:r w:rsidR="00705604">
        <w:t>their financial</w:t>
      </w:r>
      <w:r w:rsidR="008F04B2">
        <w:t xml:space="preserve"> condition.</w:t>
      </w:r>
    </w:p>
    <w:p w:rsidR="00761CC5" w:rsidRDefault="00761CC5" w:rsidP="00EF329C">
      <w:pPr>
        <w:pStyle w:val="MCQList1"/>
        <w:keepNext w:val="0"/>
        <w:tabs>
          <w:tab w:val="clear" w:pos="274"/>
          <w:tab w:val="clear" w:pos="446"/>
        </w:tabs>
        <w:spacing w:before="0" w:after="240"/>
        <w:ind w:left="1008" w:hanging="576"/>
        <w:jc w:val="both"/>
      </w:pPr>
      <w:r>
        <w:t>2-10</w:t>
      </w:r>
      <w:r w:rsidR="00E55193">
        <w:tab/>
        <w:t xml:space="preserve">Both Acts </w:t>
      </w:r>
      <w:r w:rsidR="001A28DC">
        <w:t>required</w:t>
      </w:r>
      <w:r w:rsidR="00E55193">
        <w:t xml:space="preserve"> companies wishing to participate in securities markets to disclose significant information to the public</w:t>
      </w:r>
      <w:r w:rsidR="00D7334E">
        <w:t xml:space="preserve">. </w:t>
      </w:r>
      <w:r w:rsidR="00F734C8">
        <w:rPr>
          <w:iCs/>
        </w:rPr>
        <w:t xml:space="preserve">The Securities Act of </w:t>
      </w:r>
      <w:r w:rsidR="00F734C8" w:rsidRPr="00CF2111">
        <w:t>1933</w:t>
      </w:r>
      <w:r w:rsidR="00F734C8">
        <w:rPr>
          <w:iCs/>
        </w:rPr>
        <w:t xml:space="preserve"> </w:t>
      </w:r>
      <w:r w:rsidR="001368E4">
        <w:t xml:space="preserve">focused on </w:t>
      </w:r>
      <w:r w:rsidR="00F734C8">
        <w:t xml:space="preserve">the primary market, </w:t>
      </w:r>
      <w:r w:rsidR="00942834">
        <w:t xml:space="preserve">compelling </w:t>
      </w:r>
      <w:r w:rsidR="00F734C8">
        <w:t xml:space="preserve">sellers of new securities </w:t>
      </w:r>
      <w:r w:rsidR="00942834">
        <w:t xml:space="preserve">provide reasonably accurate portrayals of their firms to </w:t>
      </w:r>
      <w:r w:rsidR="00F734C8">
        <w:t>prospective investors</w:t>
      </w:r>
      <w:r w:rsidR="00D7334E">
        <w:t xml:space="preserve">. </w:t>
      </w:r>
      <w:r w:rsidR="00F734C8">
        <w:t>The Securities Exchange Act of 1934, in contrast, regulate</w:t>
      </w:r>
      <w:r w:rsidR="001368E4">
        <w:t>d</w:t>
      </w:r>
      <w:r w:rsidR="00F734C8">
        <w:t xml:space="preserve"> trading in secondary </w:t>
      </w:r>
      <w:r w:rsidR="00F734C8" w:rsidRPr="00EF329C">
        <w:rPr>
          <w:szCs w:val="24"/>
        </w:rPr>
        <w:t>markets</w:t>
      </w:r>
      <w:r w:rsidR="001368E4">
        <w:t>;</w:t>
      </w:r>
      <w:r w:rsidR="00F734C8">
        <w:t xml:space="preserve"> forc</w:t>
      </w:r>
      <w:r w:rsidR="001368E4">
        <w:t>ing</w:t>
      </w:r>
      <w:r w:rsidR="00F734C8">
        <w:t xml:space="preserve"> publicly traded </w:t>
      </w:r>
      <w:r w:rsidR="00942834">
        <w:t>companies</w:t>
      </w:r>
      <w:r w:rsidR="00F734C8">
        <w:t xml:space="preserve"> to </w:t>
      </w:r>
      <w:r w:rsidR="00942834">
        <w:t xml:space="preserve">keep investors informed about </w:t>
      </w:r>
      <w:r w:rsidR="001368E4">
        <w:t>firm</w:t>
      </w:r>
      <w:r w:rsidR="00942834">
        <w:t xml:space="preserve"> condition </w:t>
      </w:r>
      <w:r w:rsidR="00F734C8">
        <w:t>on an ongoing basis</w:t>
      </w:r>
      <w:r w:rsidR="00D7334E">
        <w:t xml:space="preserve">. </w:t>
      </w:r>
      <w:r w:rsidR="00F734C8">
        <w:t>The latter Act also created the Securities Exchange Commission to enforce federal securities laws.</w:t>
      </w:r>
    </w:p>
    <w:p w:rsidR="00CC7121" w:rsidRDefault="00EF3133" w:rsidP="00EF329C">
      <w:pPr>
        <w:pStyle w:val="MCQList1"/>
        <w:keepNext w:val="0"/>
        <w:tabs>
          <w:tab w:val="clear" w:pos="274"/>
          <w:tab w:val="clear" w:pos="446"/>
        </w:tabs>
        <w:spacing w:before="0" w:after="240"/>
        <w:ind w:left="1008" w:hanging="576"/>
        <w:jc w:val="both"/>
        <w:rPr>
          <w:szCs w:val="24"/>
        </w:rPr>
      </w:pPr>
      <w:r>
        <w:rPr>
          <w:szCs w:val="24"/>
        </w:rPr>
        <w:t>2-11</w:t>
      </w:r>
      <w:r>
        <w:rPr>
          <w:szCs w:val="24"/>
        </w:rPr>
        <w:tab/>
        <w:t>A</w:t>
      </w:r>
      <w:r w:rsidR="00CC7121">
        <w:rPr>
          <w:szCs w:val="24"/>
        </w:rPr>
        <w:t xml:space="preserve">ngel investors </w:t>
      </w:r>
      <w:r w:rsidR="0037548F">
        <w:rPr>
          <w:szCs w:val="24"/>
        </w:rPr>
        <w:t>and</w:t>
      </w:r>
      <w:r w:rsidR="00CC7121">
        <w:rPr>
          <w:szCs w:val="24"/>
        </w:rPr>
        <w:t xml:space="preserve"> venture capitalists</w:t>
      </w:r>
      <w:r>
        <w:rPr>
          <w:szCs w:val="24"/>
        </w:rPr>
        <w:t xml:space="preserve"> are both sources of private equity</w:t>
      </w:r>
      <w:r w:rsidR="00D7334E">
        <w:rPr>
          <w:szCs w:val="24"/>
        </w:rPr>
        <w:t xml:space="preserve">. </w:t>
      </w:r>
      <w:r w:rsidR="00CC7121">
        <w:rPr>
          <w:szCs w:val="24"/>
        </w:rPr>
        <w:t xml:space="preserve">“Angels” </w:t>
      </w:r>
      <w:r w:rsidR="00FD0BB5">
        <w:rPr>
          <w:szCs w:val="24"/>
        </w:rPr>
        <w:t xml:space="preserve">are </w:t>
      </w:r>
      <w:r>
        <w:rPr>
          <w:szCs w:val="24"/>
        </w:rPr>
        <w:t>usually</w:t>
      </w:r>
      <w:r w:rsidR="00FD0BB5">
        <w:rPr>
          <w:szCs w:val="24"/>
        </w:rPr>
        <w:t xml:space="preserve"> </w:t>
      </w:r>
      <w:r w:rsidR="00CC7121">
        <w:rPr>
          <w:szCs w:val="24"/>
        </w:rPr>
        <w:t xml:space="preserve">wealthy individuals </w:t>
      </w:r>
      <w:r>
        <w:rPr>
          <w:szCs w:val="24"/>
        </w:rPr>
        <w:t>who f</w:t>
      </w:r>
      <w:r w:rsidR="00CC7121">
        <w:rPr>
          <w:szCs w:val="24"/>
        </w:rPr>
        <w:t xml:space="preserve">und promising start-ups in return for a </w:t>
      </w:r>
      <w:r w:rsidR="00F0555C">
        <w:rPr>
          <w:szCs w:val="24"/>
        </w:rPr>
        <w:t>slice</w:t>
      </w:r>
      <w:r w:rsidR="00CC7121">
        <w:rPr>
          <w:szCs w:val="24"/>
        </w:rPr>
        <w:t xml:space="preserve"> of firm equity</w:t>
      </w:r>
      <w:r w:rsidR="00D7334E">
        <w:rPr>
          <w:szCs w:val="24"/>
        </w:rPr>
        <w:t xml:space="preserve">. </w:t>
      </w:r>
      <w:r w:rsidR="00F0555C">
        <w:rPr>
          <w:szCs w:val="24"/>
        </w:rPr>
        <w:t xml:space="preserve">Venture capitalists, in contrast, are businesses that pool </w:t>
      </w:r>
      <w:r w:rsidR="00FD0BB5">
        <w:rPr>
          <w:szCs w:val="24"/>
        </w:rPr>
        <w:t>contribut</w:t>
      </w:r>
      <w:r w:rsidR="001A28DC">
        <w:rPr>
          <w:szCs w:val="24"/>
        </w:rPr>
        <w:t xml:space="preserve">ions from </w:t>
      </w:r>
      <w:r w:rsidR="00F0555C" w:rsidRPr="00D56786">
        <w:t>individual</w:t>
      </w:r>
      <w:r w:rsidR="00FD0BB5" w:rsidRPr="00D56786">
        <w:t>s</w:t>
      </w:r>
      <w:r w:rsidR="0037548F">
        <w:t xml:space="preserve"> </w:t>
      </w:r>
      <w:r w:rsidR="001A28DC">
        <w:t>(</w:t>
      </w:r>
      <w:r w:rsidR="00F0555C">
        <w:rPr>
          <w:szCs w:val="24"/>
        </w:rPr>
        <w:t>often institutional investors like university endowments and pension funds</w:t>
      </w:r>
      <w:r w:rsidR="001A28DC">
        <w:rPr>
          <w:szCs w:val="24"/>
        </w:rPr>
        <w:t>) an</w:t>
      </w:r>
      <w:r w:rsidR="00F0555C">
        <w:rPr>
          <w:szCs w:val="24"/>
        </w:rPr>
        <w:t>d invest those funds in</w:t>
      </w:r>
      <w:r>
        <w:rPr>
          <w:szCs w:val="24"/>
        </w:rPr>
        <w:t xml:space="preserve"> promising start-ups</w:t>
      </w:r>
      <w:r w:rsidR="00D7334E">
        <w:rPr>
          <w:szCs w:val="24"/>
        </w:rPr>
        <w:t xml:space="preserve">. </w:t>
      </w:r>
      <w:r w:rsidR="00340A21">
        <w:rPr>
          <w:szCs w:val="24"/>
        </w:rPr>
        <w:t xml:space="preserve">In short, </w:t>
      </w:r>
      <w:r w:rsidR="00F0555C">
        <w:rPr>
          <w:szCs w:val="24"/>
        </w:rPr>
        <w:t xml:space="preserve">angels pick </w:t>
      </w:r>
      <w:r w:rsidR="00340A21">
        <w:rPr>
          <w:szCs w:val="24"/>
        </w:rPr>
        <w:t>“winn</w:t>
      </w:r>
      <w:r>
        <w:rPr>
          <w:szCs w:val="24"/>
        </w:rPr>
        <w:t>ers</w:t>
      </w:r>
      <w:r w:rsidR="00340A21">
        <w:rPr>
          <w:szCs w:val="24"/>
        </w:rPr>
        <w:t>”</w:t>
      </w:r>
      <w:r w:rsidR="00F0555C">
        <w:rPr>
          <w:szCs w:val="24"/>
        </w:rPr>
        <w:t xml:space="preserve"> themselves whereas venture c</w:t>
      </w:r>
      <w:r w:rsidR="00340A21">
        <w:rPr>
          <w:szCs w:val="24"/>
        </w:rPr>
        <w:t xml:space="preserve">apitalists pick “winners” </w:t>
      </w:r>
      <w:r>
        <w:rPr>
          <w:szCs w:val="24"/>
        </w:rPr>
        <w:t xml:space="preserve">for </w:t>
      </w:r>
      <w:r w:rsidR="00340A21">
        <w:rPr>
          <w:szCs w:val="24"/>
        </w:rPr>
        <w:t xml:space="preserve">their clients. </w:t>
      </w:r>
    </w:p>
    <w:p w:rsidR="00340A21" w:rsidRDefault="00340A21" w:rsidP="00744A6F">
      <w:pPr>
        <w:pStyle w:val="MCQList1"/>
        <w:keepNext w:val="0"/>
        <w:tabs>
          <w:tab w:val="clear" w:pos="274"/>
          <w:tab w:val="clear" w:pos="446"/>
        </w:tabs>
        <w:spacing w:before="0" w:after="120"/>
        <w:ind w:left="1008" w:hanging="576"/>
        <w:jc w:val="both"/>
        <w:rPr>
          <w:szCs w:val="24"/>
        </w:rPr>
      </w:pPr>
      <w:r>
        <w:rPr>
          <w:szCs w:val="24"/>
        </w:rPr>
        <w:lastRenderedPageBreak/>
        <w:t>2-12</w:t>
      </w:r>
      <w:r>
        <w:rPr>
          <w:szCs w:val="24"/>
        </w:rPr>
        <w:tab/>
        <w:t xml:space="preserve">Venture capitalists </w:t>
      </w:r>
      <w:r w:rsidR="00B80C05">
        <w:rPr>
          <w:szCs w:val="24"/>
        </w:rPr>
        <w:t>(</w:t>
      </w:r>
      <w:r w:rsidR="00B80C05" w:rsidRPr="00D56786">
        <w:t>VCs</w:t>
      </w:r>
      <w:r w:rsidR="00B80C05">
        <w:rPr>
          <w:szCs w:val="24"/>
        </w:rPr>
        <w:t xml:space="preserve">) </w:t>
      </w:r>
      <w:r w:rsidR="008516E8">
        <w:rPr>
          <w:szCs w:val="24"/>
        </w:rPr>
        <w:t xml:space="preserve">are organized </w:t>
      </w:r>
      <w:r w:rsidR="003421B6">
        <w:rPr>
          <w:szCs w:val="24"/>
        </w:rPr>
        <w:t>as</w:t>
      </w:r>
      <w:r>
        <w:rPr>
          <w:szCs w:val="24"/>
        </w:rPr>
        <w:t xml:space="preserve"> (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>) limited partnerships (most common)</w:t>
      </w:r>
      <w:proofErr w:type="gramStart"/>
      <w:r>
        <w:rPr>
          <w:szCs w:val="24"/>
        </w:rPr>
        <w:t>,</w:t>
      </w:r>
      <w:proofErr w:type="gramEnd"/>
      <w:r>
        <w:rPr>
          <w:szCs w:val="24"/>
        </w:rPr>
        <w:t xml:space="preserve"> (ii) small business investment companies</w:t>
      </w:r>
      <w:r w:rsidR="00B80C05">
        <w:rPr>
          <w:szCs w:val="24"/>
        </w:rPr>
        <w:t xml:space="preserve"> (SBICs)</w:t>
      </w:r>
      <w:r>
        <w:rPr>
          <w:szCs w:val="24"/>
        </w:rPr>
        <w:t>, (iii) financial funds, and (iv) corporate funds</w:t>
      </w:r>
      <w:r w:rsidR="00D7334E">
        <w:rPr>
          <w:szCs w:val="24"/>
        </w:rPr>
        <w:t xml:space="preserve">. </w:t>
      </w:r>
      <w:r w:rsidR="00B80C05">
        <w:rPr>
          <w:szCs w:val="24"/>
        </w:rPr>
        <w:t>The</w:t>
      </w:r>
      <w:r w:rsidR="00EF3133">
        <w:rPr>
          <w:szCs w:val="24"/>
        </w:rPr>
        <w:t xml:space="preserve"> principal difference is how the VC was </w:t>
      </w:r>
      <w:r w:rsidR="00B80C05">
        <w:rPr>
          <w:szCs w:val="24"/>
        </w:rPr>
        <w:t>created</w:t>
      </w:r>
      <w:r w:rsidR="00D7334E">
        <w:rPr>
          <w:szCs w:val="24"/>
        </w:rPr>
        <w:t xml:space="preserve">. </w:t>
      </w:r>
      <w:r w:rsidR="008516E8">
        <w:rPr>
          <w:szCs w:val="24"/>
        </w:rPr>
        <w:t xml:space="preserve">The federal government charters </w:t>
      </w:r>
      <w:r w:rsidR="00B80C05">
        <w:rPr>
          <w:szCs w:val="24"/>
        </w:rPr>
        <w:t>SBICs</w:t>
      </w:r>
      <w:r w:rsidR="00D7334E">
        <w:rPr>
          <w:szCs w:val="24"/>
        </w:rPr>
        <w:t xml:space="preserve">. </w:t>
      </w:r>
      <w:r w:rsidR="001A28DC">
        <w:rPr>
          <w:szCs w:val="24"/>
        </w:rPr>
        <w:t>F</w:t>
      </w:r>
      <w:r w:rsidR="00744A6F">
        <w:rPr>
          <w:szCs w:val="24"/>
        </w:rPr>
        <w:t xml:space="preserve">inancial institutions </w:t>
      </w:r>
      <w:r w:rsidR="00906BD6">
        <w:rPr>
          <w:szCs w:val="24"/>
        </w:rPr>
        <w:t>(</w:t>
      </w:r>
      <w:r w:rsidR="008516E8">
        <w:rPr>
          <w:szCs w:val="24"/>
        </w:rPr>
        <w:t xml:space="preserve">usually </w:t>
      </w:r>
      <w:r w:rsidR="00744A6F">
        <w:rPr>
          <w:szCs w:val="24"/>
        </w:rPr>
        <w:t>commercial banks)</w:t>
      </w:r>
      <w:r w:rsidR="001A28DC">
        <w:rPr>
          <w:szCs w:val="24"/>
        </w:rPr>
        <w:t>, in contrast,</w:t>
      </w:r>
      <w:r w:rsidR="00744A6F">
        <w:rPr>
          <w:szCs w:val="24"/>
        </w:rPr>
        <w:t xml:space="preserve"> create f</w:t>
      </w:r>
      <w:r w:rsidR="00B80C05">
        <w:rPr>
          <w:szCs w:val="24"/>
        </w:rPr>
        <w:t xml:space="preserve">inancial </w:t>
      </w:r>
      <w:r w:rsidR="00906BD6">
        <w:rPr>
          <w:szCs w:val="24"/>
        </w:rPr>
        <w:t>funds</w:t>
      </w:r>
      <w:r w:rsidR="00DE6968">
        <w:rPr>
          <w:szCs w:val="24"/>
        </w:rPr>
        <w:t xml:space="preserve"> </w:t>
      </w:r>
      <w:r w:rsidR="00744A6F">
        <w:rPr>
          <w:szCs w:val="24"/>
        </w:rPr>
        <w:t>as</w:t>
      </w:r>
      <w:r w:rsidR="00B80C05">
        <w:rPr>
          <w:szCs w:val="24"/>
        </w:rPr>
        <w:t xml:space="preserve"> subsidiaries </w:t>
      </w:r>
      <w:r w:rsidR="00744A6F">
        <w:rPr>
          <w:szCs w:val="24"/>
        </w:rPr>
        <w:t xml:space="preserve">while nonfinancial firms </w:t>
      </w:r>
      <w:r w:rsidR="008516E8">
        <w:rPr>
          <w:szCs w:val="24"/>
        </w:rPr>
        <w:t>launch</w:t>
      </w:r>
      <w:r w:rsidR="00744A6F">
        <w:rPr>
          <w:szCs w:val="24"/>
        </w:rPr>
        <w:t xml:space="preserve"> c</w:t>
      </w:r>
      <w:r w:rsidR="00B80C05">
        <w:rPr>
          <w:szCs w:val="24"/>
        </w:rPr>
        <w:t>orporate funds</w:t>
      </w:r>
      <w:r w:rsidR="00744A6F">
        <w:rPr>
          <w:szCs w:val="24"/>
        </w:rPr>
        <w:t xml:space="preserve">, sometimes </w:t>
      </w:r>
      <w:r w:rsidR="008516E8">
        <w:rPr>
          <w:szCs w:val="24"/>
        </w:rPr>
        <w:t xml:space="preserve">as </w:t>
      </w:r>
      <w:r w:rsidR="00DE6968">
        <w:rPr>
          <w:szCs w:val="24"/>
        </w:rPr>
        <w:t>subsidiaries</w:t>
      </w:r>
      <w:r w:rsidR="00D7334E">
        <w:rPr>
          <w:szCs w:val="24"/>
        </w:rPr>
        <w:t xml:space="preserve">. </w:t>
      </w:r>
      <w:r w:rsidR="00744A6F">
        <w:rPr>
          <w:szCs w:val="24"/>
        </w:rPr>
        <w:t xml:space="preserve">Unlike other </w:t>
      </w:r>
      <w:r w:rsidR="00906BD6">
        <w:rPr>
          <w:szCs w:val="24"/>
        </w:rPr>
        <w:t>VC</w:t>
      </w:r>
      <w:r w:rsidR="00744A6F">
        <w:rPr>
          <w:szCs w:val="24"/>
        </w:rPr>
        <w:t xml:space="preserve"> types, </w:t>
      </w:r>
      <w:r w:rsidR="004D4B8C">
        <w:rPr>
          <w:szCs w:val="24"/>
        </w:rPr>
        <w:t xml:space="preserve">limited partnerships are launched by </w:t>
      </w:r>
      <w:r w:rsidR="00744A6F">
        <w:rPr>
          <w:szCs w:val="24"/>
        </w:rPr>
        <w:t>private individuals</w:t>
      </w:r>
      <w:r w:rsidR="00D7334E">
        <w:rPr>
          <w:szCs w:val="24"/>
        </w:rPr>
        <w:t xml:space="preserve">. </w:t>
      </w:r>
      <w:r w:rsidR="0037548F">
        <w:rPr>
          <w:szCs w:val="24"/>
        </w:rPr>
        <w:t xml:space="preserve">All </w:t>
      </w:r>
      <w:r w:rsidR="00EF329C">
        <w:rPr>
          <w:szCs w:val="24"/>
        </w:rPr>
        <w:t>V</w:t>
      </w:r>
      <w:r w:rsidR="005C65C5">
        <w:rPr>
          <w:szCs w:val="24"/>
        </w:rPr>
        <w:t xml:space="preserve">Cs </w:t>
      </w:r>
      <w:r w:rsidR="004D4B8C">
        <w:rPr>
          <w:szCs w:val="24"/>
        </w:rPr>
        <w:t>use</w:t>
      </w:r>
      <w:r w:rsidR="00906BD6">
        <w:rPr>
          <w:szCs w:val="24"/>
        </w:rPr>
        <w:t xml:space="preserve"> </w:t>
      </w:r>
      <w:r w:rsidR="005C65C5">
        <w:rPr>
          <w:szCs w:val="24"/>
        </w:rPr>
        <w:t xml:space="preserve">a legal agreement </w:t>
      </w:r>
      <w:r w:rsidR="00744A6F">
        <w:rPr>
          <w:szCs w:val="24"/>
        </w:rPr>
        <w:t>to</w:t>
      </w:r>
      <w:r w:rsidR="003421B6">
        <w:rPr>
          <w:szCs w:val="24"/>
        </w:rPr>
        <w:t xml:space="preserve"> </w:t>
      </w:r>
      <w:r w:rsidR="005C65C5">
        <w:rPr>
          <w:szCs w:val="24"/>
        </w:rPr>
        <w:t>specif</w:t>
      </w:r>
      <w:r w:rsidR="00744A6F">
        <w:rPr>
          <w:szCs w:val="24"/>
        </w:rPr>
        <w:t>y</w:t>
      </w:r>
      <w:r w:rsidR="005C65C5">
        <w:rPr>
          <w:szCs w:val="24"/>
        </w:rPr>
        <w:t xml:space="preserve"> d</w:t>
      </w:r>
      <w:r w:rsidR="004D4B8C">
        <w:rPr>
          <w:szCs w:val="24"/>
        </w:rPr>
        <w:t>eal structure and pricing</w:t>
      </w:r>
      <w:r w:rsidR="00D7334E">
        <w:rPr>
          <w:szCs w:val="24"/>
        </w:rPr>
        <w:t xml:space="preserve">. </w:t>
      </w:r>
      <w:r w:rsidR="004D4B8C">
        <w:rPr>
          <w:szCs w:val="24"/>
        </w:rPr>
        <w:t xml:space="preserve">Deal </w:t>
      </w:r>
      <w:r w:rsidR="005C65C5">
        <w:rPr>
          <w:szCs w:val="24"/>
        </w:rPr>
        <w:t xml:space="preserve">structure </w:t>
      </w:r>
      <w:r w:rsidR="00906BD6">
        <w:rPr>
          <w:szCs w:val="24"/>
        </w:rPr>
        <w:t>allocate</w:t>
      </w:r>
      <w:r w:rsidR="00705604">
        <w:rPr>
          <w:szCs w:val="24"/>
        </w:rPr>
        <w:t>s</w:t>
      </w:r>
      <w:r w:rsidR="005C65C5">
        <w:rPr>
          <w:szCs w:val="24"/>
        </w:rPr>
        <w:t xml:space="preserve"> responsibilities between the </w:t>
      </w:r>
      <w:r w:rsidR="00705604">
        <w:rPr>
          <w:szCs w:val="24"/>
        </w:rPr>
        <w:t xml:space="preserve">start-up and </w:t>
      </w:r>
      <w:r w:rsidR="00906BD6">
        <w:rPr>
          <w:szCs w:val="24"/>
        </w:rPr>
        <w:t xml:space="preserve">VC </w:t>
      </w:r>
      <w:r w:rsidR="008516E8">
        <w:rPr>
          <w:szCs w:val="24"/>
        </w:rPr>
        <w:t xml:space="preserve">and </w:t>
      </w:r>
      <w:r w:rsidR="00705604">
        <w:rPr>
          <w:szCs w:val="24"/>
        </w:rPr>
        <w:t>may</w:t>
      </w:r>
      <w:r w:rsidR="008516E8">
        <w:rPr>
          <w:szCs w:val="24"/>
        </w:rPr>
        <w:t xml:space="preserve"> </w:t>
      </w:r>
      <w:r w:rsidR="005C65C5">
        <w:rPr>
          <w:szCs w:val="24"/>
        </w:rPr>
        <w:t xml:space="preserve">include </w:t>
      </w:r>
      <w:r w:rsidR="0037548F">
        <w:rPr>
          <w:szCs w:val="24"/>
        </w:rPr>
        <w:t xml:space="preserve">constraints on the firm to </w:t>
      </w:r>
      <w:r w:rsidR="008516E8">
        <w:rPr>
          <w:szCs w:val="24"/>
        </w:rPr>
        <w:t xml:space="preserve">enhance </w:t>
      </w:r>
      <w:r w:rsidR="0037548F">
        <w:rPr>
          <w:szCs w:val="24"/>
        </w:rPr>
        <w:t>its c</w:t>
      </w:r>
      <w:r w:rsidR="003421B6">
        <w:rPr>
          <w:szCs w:val="24"/>
        </w:rPr>
        <w:t>hance of success and mitigate</w:t>
      </w:r>
      <w:r w:rsidR="005C65C5">
        <w:rPr>
          <w:szCs w:val="24"/>
        </w:rPr>
        <w:t xml:space="preserve"> </w:t>
      </w:r>
      <w:r w:rsidR="00906BD6">
        <w:rPr>
          <w:szCs w:val="24"/>
        </w:rPr>
        <w:t>VC</w:t>
      </w:r>
      <w:r w:rsidR="008516E8">
        <w:rPr>
          <w:szCs w:val="24"/>
        </w:rPr>
        <w:t xml:space="preserve"> risk</w:t>
      </w:r>
      <w:r w:rsidR="00D7334E">
        <w:rPr>
          <w:szCs w:val="24"/>
        </w:rPr>
        <w:t xml:space="preserve">. </w:t>
      </w:r>
      <w:r w:rsidR="004D4B8C">
        <w:rPr>
          <w:szCs w:val="24"/>
        </w:rPr>
        <w:t>P</w:t>
      </w:r>
      <w:r w:rsidR="005C65C5">
        <w:rPr>
          <w:szCs w:val="24"/>
        </w:rPr>
        <w:t xml:space="preserve">ricing depends on the </w:t>
      </w:r>
      <w:r w:rsidR="008516E8">
        <w:rPr>
          <w:szCs w:val="24"/>
        </w:rPr>
        <w:t>(</w:t>
      </w:r>
      <w:proofErr w:type="spellStart"/>
      <w:r w:rsidR="008516E8">
        <w:rPr>
          <w:szCs w:val="24"/>
        </w:rPr>
        <w:t>i</w:t>
      </w:r>
      <w:proofErr w:type="spellEnd"/>
      <w:r w:rsidR="008516E8">
        <w:rPr>
          <w:szCs w:val="24"/>
        </w:rPr>
        <w:t xml:space="preserve">) </w:t>
      </w:r>
      <w:r w:rsidR="005C65C5">
        <w:rPr>
          <w:szCs w:val="24"/>
        </w:rPr>
        <w:t xml:space="preserve">value of the </w:t>
      </w:r>
      <w:r w:rsidR="008F04B2">
        <w:rPr>
          <w:szCs w:val="24"/>
        </w:rPr>
        <w:t>start-up</w:t>
      </w:r>
      <w:r w:rsidR="005C65C5">
        <w:rPr>
          <w:szCs w:val="24"/>
        </w:rPr>
        <w:t xml:space="preserve">, </w:t>
      </w:r>
      <w:r w:rsidR="008516E8">
        <w:rPr>
          <w:szCs w:val="24"/>
        </w:rPr>
        <w:t xml:space="preserve">(ii) </w:t>
      </w:r>
      <w:r w:rsidR="00B51399">
        <w:rPr>
          <w:szCs w:val="24"/>
        </w:rPr>
        <w:t xml:space="preserve">perceived risk of its business operations, and </w:t>
      </w:r>
      <w:r w:rsidR="008516E8">
        <w:rPr>
          <w:szCs w:val="24"/>
        </w:rPr>
        <w:t>(iii)</w:t>
      </w:r>
      <w:r w:rsidR="00B51399">
        <w:rPr>
          <w:szCs w:val="24"/>
        </w:rPr>
        <w:t xml:space="preserve"> </w:t>
      </w:r>
      <w:r w:rsidR="005C65C5">
        <w:rPr>
          <w:szCs w:val="24"/>
        </w:rPr>
        <w:t xml:space="preserve">amount of funding </w:t>
      </w:r>
      <w:r w:rsidR="00B51399">
        <w:rPr>
          <w:szCs w:val="24"/>
        </w:rPr>
        <w:t>needed</w:t>
      </w:r>
      <w:r w:rsidR="00D7334E">
        <w:rPr>
          <w:szCs w:val="24"/>
        </w:rPr>
        <w:t xml:space="preserve">. </w:t>
      </w:r>
      <w:r w:rsidR="00705604">
        <w:rPr>
          <w:szCs w:val="24"/>
        </w:rPr>
        <w:t xml:space="preserve">In general, </w:t>
      </w:r>
      <w:r w:rsidR="00B51399">
        <w:rPr>
          <w:szCs w:val="24"/>
        </w:rPr>
        <w:t xml:space="preserve">VCs provide less funding and require a greater ownership stake when the firm is the early </w:t>
      </w:r>
      <w:r w:rsidR="00AF221C">
        <w:rPr>
          <w:szCs w:val="24"/>
        </w:rPr>
        <w:t xml:space="preserve">stages of </w:t>
      </w:r>
      <w:r w:rsidR="00B51399">
        <w:rPr>
          <w:szCs w:val="24"/>
        </w:rPr>
        <w:t xml:space="preserve">development. </w:t>
      </w:r>
    </w:p>
    <w:p w:rsidR="00B51399" w:rsidRDefault="00B51399" w:rsidP="00EF329C">
      <w:pPr>
        <w:pStyle w:val="MCQList1"/>
        <w:keepNext w:val="0"/>
        <w:tabs>
          <w:tab w:val="clear" w:pos="274"/>
          <w:tab w:val="clear" w:pos="446"/>
        </w:tabs>
        <w:spacing w:before="0" w:after="240"/>
        <w:ind w:left="1008" w:hanging="576"/>
        <w:jc w:val="both"/>
        <w:rPr>
          <w:szCs w:val="24"/>
        </w:rPr>
      </w:pPr>
      <w:r>
        <w:rPr>
          <w:szCs w:val="24"/>
        </w:rPr>
        <w:t>2-13</w:t>
      </w:r>
      <w:r>
        <w:rPr>
          <w:szCs w:val="24"/>
        </w:rPr>
        <w:tab/>
      </w:r>
      <w:r w:rsidR="00583A40">
        <w:rPr>
          <w:szCs w:val="24"/>
        </w:rPr>
        <w:t>F</w:t>
      </w:r>
      <w:r w:rsidR="00FD0BB5">
        <w:rPr>
          <w:szCs w:val="24"/>
        </w:rPr>
        <w:t xml:space="preserve">irms wishing </w:t>
      </w:r>
      <w:r w:rsidR="00BE27CB">
        <w:rPr>
          <w:szCs w:val="24"/>
        </w:rPr>
        <w:t>to go public</w:t>
      </w:r>
      <w:r w:rsidR="00AF221C">
        <w:rPr>
          <w:szCs w:val="24"/>
        </w:rPr>
        <w:t xml:space="preserve"> </w:t>
      </w:r>
      <w:r w:rsidR="00BE27CB">
        <w:rPr>
          <w:szCs w:val="24"/>
        </w:rPr>
        <w:t>must (</w:t>
      </w:r>
      <w:proofErr w:type="spellStart"/>
      <w:r w:rsidR="00BE27CB">
        <w:rPr>
          <w:szCs w:val="24"/>
        </w:rPr>
        <w:t>i</w:t>
      </w:r>
      <w:proofErr w:type="spellEnd"/>
      <w:r w:rsidR="00BE27CB">
        <w:rPr>
          <w:szCs w:val="24"/>
        </w:rPr>
        <w:t xml:space="preserve">) </w:t>
      </w:r>
      <w:r w:rsidR="00C74487">
        <w:rPr>
          <w:szCs w:val="24"/>
        </w:rPr>
        <w:t>secure</w:t>
      </w:r>
      <w:r w:rsidR="00BE27CB">
        <w:rPr>
          <w:szCs w:val="24"/>
        </w:rPr>
        <w:t xml:space="preserve"> approval from current shareholders, (ii) </w:t>
      </w:r>
      <w:r w:rsidR="00583A40">
        <w:rPr>
          <w:szCs w:val="24"/>
        </w:rPr>
        <w:t xml:space="preserve">obtain certification of the accuracy of their financial documents from </w:t>
      </w:r>
      <w:r w:rsidR="00BE27CB">
        <w:rPr>
          <w:szCs w:val="24"/>
        </w:rPr>
        <w:t>company auditors and lawyers</w:t>
      </w:r>
      <w:r w:rsidR="00C74487">
        <w:rPr>
          <w:szCs w:val="24"/>
        </w:rPr>
        <w:t>, (iii) hire</w:t>
      </w:r>
      <w:r w:rsidR="00BE27CB">
        <w:rPr>
          <w:szCs w:val="24"/>
        </w:rPr>
        <w:t xml:space="preserve"> an </w:t>
      </w:r>
      <w:r w:rsidR="00FD0BB5">
        <w:rPr>
          <w:szCs w:val="24"/>
        </w:rPr>
        <w:t xml:space="preserve">originating </w:t>
      </w:r>
      <w:r w:rsidR="00BE27CB">
        <w:rPr>
          <w:szCs w:val="24"/>
        </w:rPr>
        <w:t>investment bank, (iv) fil</w:t>
      </w:r>
      <w:r w:rsidR="00C74487">
        <w:rPr>
          <w:szCs w:val="24"/>
        </w:rPr>
        <w:t>e</w:t>
      </w:r>
      <w:r w:rsidR="00BE27CB">
        <w:rPr>
          <w:szCs w:val="24"/>
        </w:rPr>
        <w:t xml:space="preserve"> a registration statement with the </w:t>
      </w:r>
      <w:r w:rsidR="00EF49A3">
        <w:rPr>
          <w:szCs w:val="24"/>
        </w:rPr>
        <w:t>Securities and Exchange Commission (</w:t>
      </w:r>
      <w:r w:rsidR="00BE27CB">
        <w:rPr>
          <w:szCs w:val="24"/>
        </w:rPr>
        <w:t>SEC</w:t>
      </w:r>
      <w:r w:rsidR="00EF49A3">
        <w:rPr>
          <w:szCs w:val="24"/>
        </w:rPr>
        <w:t>)</w:t>
      </w:r>
      <w:r w:rsidR="00BE27CB">
        <w:rPr>
          <w:szCs w:val="24"/>
        </w:rPr>
        <w:t xml:space="preserve">, (v) </w:t>
      </w:r>
      <w:r w:rsidR="00FD0BB5">
        <w:rPr>
          <w:szCs w:val="24"/>
        </w:rPr>
        <w:t xml:space="preserve">participate in </w:t>
      </w:r>
      <w:r w:rsidR="00BE27CB">
        <w:rPr>
          <w:szCs w:val="24"/>
        </w:rPr>
        <w:t>roadshow</w:t>
      </w:r>
      <w:r w:rsidR="00FD0BB5">
        <w:rPr>
          <w:szCs w:val="24"/>
        </w:rPr>
        <w:t>s with the investment bank</w:t>
      </w:r>
      <w:r w:rsidR="00BE27CB">
        <w:rPr>
          <w:szCs w:val="24"/>
        </w:rPr>
        <w:t xml:space="preserve"> to </w:t>
      </w:r>
      <w:r w:rsidR="00583A40">
        <w:rPr>
          <w:szCs w:val="24"/>
        </w:rPr>
        <w:t>spark</w:t>
      </w:r>
      <w:r w:rsidR="00BE27CB">
        <w:rPr>
          <w:szCs w:val="24"/>
        </w:rPr>
        <w:t xml:space="preserve"> interest among potential investors</w:t>
      </w:r>
      <w:r w:rsidR="00C74487">
        <w:rPr>
          <w:szCs w:val="24"/>
        </w:rPr>
        <w:t xml:space="preserve"> and </w:t>
      </w:r>
      <w:r w:rsidR="00583A40">
        <w:rPr>
          <w:szCs w:val="24"/>
        </w:rPr>
        <w:t xml:space="preserve">learn </w:t>
      </w:r>
      <w:r w:rsidR="00C74487">
        <w:rPr>
          <w:szCs w:val="24"/>
        </w:rPr>
        <w:t>about a suitable issuing price</w:t>
      </w:r>
      <w:r w:rsidR="00BE27CB">
        <w:rPr>
          <w:szCs w:val="24"/>
        </w:rPr>
        <w:t>, (vi)</w:t>
      </w:r>
      <w:r w:rsidR="007155E5" w:rsidRPr="007155E5">
        <w:rPr>
          <w:szCs w:val="24"/>
        </w:rPr>
        <w:t xml:space="preserve"> </w:t>
      </w:r>
      <w:r w:rsidR="007155E5">
        <w:rPr>
          <w:szCs w:val="24"/>
        </w:rPr>
        <w:t xml:space="preserve">obtain </w:t>
      </w:r>
      <w:r w:rsidR="00583A40">
        <w:rPr>
          <w:szCs w:val="24"/>
        </w:rPr>
        <w:t xml:space="preserve">final </w:t>
      </w:r>
      <w:r w:rsidR="00FD0BB5">
        <w:rPr>
          <w:szCs w:val="24"/>
        </w:rPr>
        <w:t xml:space="preserve">SEC </w:t>
      </w:r>
      <w:r w:rsidR="007155E5">
        <w:rPr>
          <w:szCs w:val="24"/>
        </w:rPr>
        <w:t xml:space="preserve">approval </w:t>
      </w:r>
      <w:r w:rsidR="00EF49A3">
        <w:rPr>
          <w:szCs w:val="24"/>
        </w:rPr>
        <w:t xml:space="preserve">after the investment bank </w:t>
      </w:r>
      <w:r w:rsidR="007155E5">
        <w:rPr>
          <w:szCs w:val="24"/>
        </w:rPr>
        <w:t xml:space="preserve">has finalized </w:t>
      </w:r>
      <w:r w:rsidR="00FD0BB5">
        <w:rPr>
          <w:szCs w:val="24"/>
        </w:rPr>
        <w:t xml:space="preserve">issue </w:t>
      </w:r>
      <w:r w:rsidR="00EF49A3">
        <w:rPr>
          <w:szCs w:val="24"/>
        </w:rPr>
        <w:t xml:space="preserve">terms and </w:t>
      </w:r>
      <w:r w:rsidR="004101EA">
        <w:rPr>
          <w:szCs w:val="24"/>
        </w:rPr>
        <w:t xml:space="preserve">offer </w:t>
      </w:r>
      <w:r w:rsidR="00EF49A3">
        <w:rPr>
          <w:szCs w:val="24"/>
        </w:rPr>
        <w:t>price,</w:t>
      </w:r>
      <w:r w:rsidR="007155E5">
        <w:rPr>
          <w:szCs w:val="24"/>
        </w:rPr>
        <w:t xml:space="preserve"> and (vii) sell the issue to the investment bank </w:t>
      </w:r>
      <w:r w:rsidR="004101EA">
        <w:rPr>
          <w:szCs w:val="24"/>
        </w:rPr>
        <w:t xml:space="preserve">at the </w:t>
      </w:r>
      <w:r w:rsidR="00FD0BB5">
        <w:rPr>
          <w:szCs w:val="24"/>
        </w:rPr>
        <w:t xml:space="preserve">guarantee </w:t>
      </w:r>
      <w:r w:rsidR="004101EA">
        <w:rPr>
          <w:szCs w:val="24"/>
        </w:rPr>
        <w:t>price</w:t>
      </w:r>
      <w:r w:rsidR="00D7334E">
        <w:rPr>
          <w:szCs w:val="24"/>
        </w:rPr>
        <w:t xml:space="preserve">. </w:t>
      </w:r>
      <w:r w:rsidR="004101EA">
        <w:rPr>
          <w:szCs w:val="24"/>
        </w:rPr>
        <w:t>The investment bank</w:t>
      </w:r>
      <w:r w:rsidR="00FD0BB5">
        <w:rPr>
          <w:szCs w:val="24"/>
        </w:rPr>
        <w:t xml:space="preserve"> </w:t>
      </w:r>
      <w:r w:rsidR="00583A40">
        <w:rPr>
          <w:szCs w:val="24"/>
        </w:rPr>
        <w:t xml:space="preserve">will </w:t>
      </w:r>
      <w:r w:rsidR="004101EA">
        <w:rPr>
          <w:szCs w:val="24"/>
        </w:rPr>
        <w:t xml:space="preserve">then assume the risk of placing the issue with primary-market investors. </w:t>
      </w:r>
    </w:p>
    <w:p w:rsidR="00BE27CB" w:rsidRDefault="00BE27CB" w:rsidP="00EF329C">
      <w:pPr>
        <w:pStyle w:val="MCQList1"/>
        <w:keepNext w:val="0"/>
        <w:tabs>
          <w:tab w:val="clear" w:pos="274"/>
          <w:tab w:val="clear" w:pos="446"/>
        </w:tabs>
        <w:spacing w:before="0" w:after="240"/>
        <w:ind w:left="1008" w:hanging="576"/>
        <w:jc w:val="both"/>
        <w:rPr>
          <w:szCs w:val="24"/>
        </w:rPr>
      </w:pPr>
      <w:r>
        <w:rPr>
          <w:szCs w:val="24"/>
        </w:rPr>
        <w:t>2-14</w:t>
      </w:r>
      <w:r w:rsidR="00400A28">
        <w:rPr>
          <w:szCs w:val="24"/>
        </w:rPr>
        <w:tab/>
      </w:r>
      <w:proofErr w:type="gramStart"/>
      <w:r w:rsidR="00400A28">
        <w:rPr>
          <w:szCs w:val="24"/>
        </w:rPr>
        <w:t>Broadly</w:t>
      </w:r>
      <w:proofErr w:type="gramEnd"/>
      <w:r w:rsidR="00400A28">
        <w:rPr>
          <w:szCs w:val="24"/>
        </w:rPr>
        <w:t xml:space="preserve"> speaking, an investment bank facilitates </w:t>
      </w:r>
      <w:r w:rsidR="00780934">
        <w:rPr>
          <w:szCs w:val="24"/>
        </w:rPr>
        <w:t xml:space="preserve">a firm’s </w:t>
      </w:r>
      <w:r w:rsidR="00583A40">
        <w:rPr>
          <w:szCs w:val="24"/>
        </w:rPr>
        <w:t xml:space="preserve">issuance of </w:t>
      </w:r>
      <w:r w:rsidR="00400A28">
        <w:rPr>
          <w:szCs w:val="24"/>
        </w:rPr>
        <w:t>new securities</w:t>
      </w:r>
      <w:r w:rsidR="00D7334E">
        <w:rPr>
          <w:szCs w:val="24"/>
        </w:rPr>
        <w:t xml:space="preserve">. </w:t>
      </w:r>
      <w:r w:rsidR="004101EA">
        <w:rPr>
          <w:szCs w:val="24"/>
        </w:rPr>
        <w:t xml:space="preserve">In a common-stock issue, </w:t>
      </w:r>
      <w:r w:rsidR="00780934">
        <w:rPr>
          <w:szCs w:val="24"/>
        </w:rPr>
        <w:t xml:space="preserve">the </w:t>
      </w:r>
      <w:r w:rsidR="00400A28">
        <w:rPr>
          <w:szCs w:val="24"/>
        </w:rPr>
        <w:t>bank help</w:t>
      </w:r>
      <w:r w:rsidR="00780934">
        <w:rPr>
          <w:szCs w:val="24"/>
        </w:rPr>
        <w:t>s</w:t>
      </w:r>
      <w:r w:rsidR="00400A28">
        <w:rPr>
          <w:szCs w:val="24"/>
        </w:rPr>
        <w:t xml:space="preserve"> the issuer file a registration statement with the SEC</w:t>
      </w:r>
      <w:r w:rsidR="007155E5">
        <w:rPr>
          <w:szCs w:val="24"/>
        </w:rPr>
        <w:t xml:space="preserve"> and market the offering to potential investors in a roadshow</w:t>
      </w:r>
      <w:r w:rsidR="00D7334E">
        <w:rPr>
          <w:szCs w:val="24"/>
        </w:rPr>
        <w:t xml:space="preserve">. </w:t>
      </w:r>
      <w:r w:rsidR="00DB61EA">
        <w:rPr>
          <w:szCs w:val="24"/>
        </w:rPr>
        <w:t>The bank also set</w:t>
      </w:r>
      <w:r w:rsidR="00780934">
        <w:rPr>
          <w:szCs w:val="24"/>
        </w:rPr>
        <w:t>s</w:t>
      </w:r>
      <w:r w:rsidR="00DB61EA">
        <w:rPr>
          <w:szCs w:val="24"/>
        </w:rPr>
        <w:t xml:space="preserve"> the offering price and other terms of the issue</w:t>
      </w:r>
      <w:r w:rsidR="00D7334E">
        <w:rPr>
          <w:szCs w:val="24"/>
        </w:rPr>
        <w:t xml:space="preserve">. </w:t>
      </w:r>
      <w:r w:rsidR="00DB61EA">
        <w:rPr>
          <w:szCs w:val="24"/>
        </w:rPr>
        <w:t>All along the way, the originating investment bank provide</w:t>
      </w:r>
      <w:r w:rsidR="00780934">
        <w:rPr>
          <w:szCs w:val="24"/>
        </w:rPr>
        <w:t>s</w:t>
      </w:r>
      <w:r w:rsidR="00DB61EA">
        <w:rPr>
          <w:szCs w:val="24"/>
        </w:rPr>
        <w:t xml:space="preserve"> advice to help the issuer maximize the volume of funds raised</w:t>
      </w:r>
      <w:r w:rsidR="00D7334E">
        <w:rPr>
          <w:szCs w:val="24"/>
        </w:rPr>
        <w:t xml:space="preserve">. </w:t>
      </w:r>
      <w:r w:rsidR="00DB61EA">
        <w:rPr>
          <w:szCs w:val="24"/>
        </w:rPr>
        <w:t>Finally, the originating bank buy</w:t>
      </w:r>
      <w:r w:rsidR="00780934">
        <w:rPr>
          <w:szCs w:val="24"/>
        </w:rPr>
        <w:t>s</w:t>
      </w:r>
      <w:r w:rsidR="00DB61EA">
        <w:rPr>
          <w:szCs w:val="24"/>
        </w:rPr>
        <w:t xml:space="preserve"> the new securities from the issuer at the guarantee price and then resell</w:t>
      </w:r>
      <w:r w:rsidR="00780934">
        <w:rPr>
          <w:szCs w:val="24"/>
        </w:rPr>
        <w:t>s</w:t>
      </w:r>
      <w:r w:rsidR="00DB61EA">
        <w:rPr>
          <w:szCs w:val="24"/>
        </w:rPr>
        <w:t xml:space="preserve"> the issue to primary-market investors</w:t>
      </w:r>
      <w:r w:rsidR="00D7334E">
        <w:rPr>
          <w:szCs w:val="24"/>
        </w:rPr>
        <w:t xml:space="preserve">. </w:t>
      </w:r>
      <w:r w:rsidR="00DB61EA">
        <w:rPr>
          <w:szCs w:val="24"/>
        </w:rPr>
        <w:t>Sometimes the bank will form a syndicate of other investment banks to share the financial risk of</w:t>
      </w:r>
      <w:r w:rsidR="00866664">
        <w:rPr>
          <w:szCs w:val="24"/>
        </w:rPr>
        <w:t xml:space="preserve"> placing the issue. </w:t>
      </w:r>
    </w:p>
    <w:p w:rsidR="00866664" w:rsidRDefault="00866664" w:rsidP="00EF329C">
      <w:pPr>
        <w:pStyle w:val="MCQList1"/>
        <w:keepNext w:val="0"/>
        <w:tabs>
          <w:tab w:val="clear" w:pos="274"/>
          <w:tab w:val="clear" w:pos="446"/>
        </w:tabs>
        <w:spacing w:before="0" w:after="240"/>
        <w:ind w:left="1008" w:hanging="576"/>
        <w:jc w:val="both"/>
        <w:rPr>
          <w:szCs w:val="24"/>
        </w:rPr>
      </w:pPr>
      <w:r>
        <w:rPr>
          <w:szCs w:val="24"/>
        </w:rPr>
        <w:t>2-15</w:t>
      </w:r>
      <w:r>
        <w:rPr>
          <w:szCs w:val="24"/>
        </w:rPr>
        <w:tab/>
      </w:r>
      <w:proofErr w:type="gramStart"/>
      <w:r>
        <w:rPr>
          <w:szCs w:val="24"/>
        </w:rPr>
        <w:t>Securitization</w:t>
      </w:r>
      <w:proofErr w:type="gramEnd"/>
      <w:r>
        <w:rPr>
          <w:szCs w:val="24"/>
        </w:rPr>
        <w:t xml:space="preserve"> is the process of </w:t>
      </w:r>
      <w:r w:rsidR="00583A40">
        <w:rPr>
          <w:szCs w:val="24"/>
        </w:rPr>
        <w:t xml:space="preserve">creating </w:t>
      </w:r>
      <w:r>
        <w:rPr>
          <w:szCs w:val="24"/>
        </w:rPr>
        <w:t>highly liquid marketable securities</w:t>
      </w:r>
      <w:r w:rsidR="00583A40">
        <w:rPr>
          <w:szCs w:val="24"/>
        </w:rPr>
        <w:t xml:space="preserve"> out of illiquid assets</w:t>
      </w:r>
      <w:r w:rsidR="00D7334E">
        <w:rPr>
          <w:szCs w:val="24"/>
        </w:rPr>
        <w:t xml:space="preserve">. </w:t>
      </w:r>
      <w:r>
        <w:rPr>
          <w:szCs w:val="24"/>
        </w:rPr>
        <w:t xml:space="preserve">The first assets securitized on a large scale </w:t>
      </w:r>
      <w:r w:rsidR="00CB2489">
        <w:rPr>
          <w:szCs w:val="24"/>
        </w:rPr>
        <w:t>were</w:t>
      </w:r>
      <w:r>
        <w:rPr>
          <w:szCs w:val="24"/>
        </w:rPr>
        <w:t xml:space="preserve"> residential mortgages</w:t>
      </w:r>
      <w:r w:rsidR="00946907">
        <w:rPr>
          <w:szCs w:val="24"/>
        </w:rPr>
        <w:t>—</w:t>
      </w:r>
      <w:proofErr w:type="spellStart"/>
      <w:r w:rsidR="00BE5841">
        <w:rPr>
          <w:szCs w:val="24"/>
        </w:rPr>
        <w:t>securitizers</w:t>
      </w:r>
      <w:proofErr w:type="spellEnd"/>
      <w:r w:rsidR="00BE5841">
        <w:rPr>
          <w:szCs w:val="24"/>
        </w:rPr>
        <w:t xml:space="preserve"> </w:t>
      </w:r>
      <w:r w:rsidR="00DC034C">
        <w:rPr>
          <w:szCs w:val="24"/>
        </w:rPr>
        <w:t>“</w:t>
      </w:r>
      <w:r w:rsidR="00CB2489">
        <w:rPr>
          <w:szCs w:val="24"/>
        </w:rPr>
        <w:t>pooled</w:t>
      </w:r>
      <w:r w:rsidR="00DC034C">
        <w:rPr>
          <w:szCs w:val="24"/>
        </w:rPr>
        <w:t>”</w:t>
      </w:r>
      <w:r w:rsidR="00CB2489">
        <w:rPr>
          <w:szCs w:val="24"/>
        </w:rPr>
        <w:t xml:space="preserve"> </w:t>
      </w:r>
      <w:r w:rsidR="00583A40">
        <w:rPr>
          <w:szCs w:val="24"/>
        </w:rPr>
        <w:t xml:space="preserve">the </w:t>
      </w:r>
      <w:r w:rsidR="00CB2489">
        <w:rPr>
          <w:szCs w:val="24"/>
        </w:rPr>
        <w:t xml:space="preserve">mortgages </w:t>
      </w:r>
      <w:r w:rsidR="00BE5841">
        <w:rPr>
          <w:szCs w:val="24"/>
        </w:rPr>
        <w:t>and</w:t>
      </w:r>
      <w:r w:rsidR="00CB2489">
        <w:rPr>
          <w:szCs w:val="24"/>
        </w:rPr>
        <w:t xml:space="preserve"> </w:t>
      </w:r>
      <w:r w:rsidR="00583A40">
        <w:rPr>
          <w:szCs w:val="24"/>
        </w:rPr>
        <w:t xml:space="preserve">then </w:t>
      </w:r>
      <w:r w:rsidR="00CB2489">
        <w:rPr>
          <w:szCs w:val="24"/>
        </w:rPr>
        <w:t xml:space="preserve">issued </w:t>
      </w:r>
      <w:r w:rsidR="00BA4324">
        <w:rPr>
          <w:szCs w:val="24"/>
        </w:rPr>
        <w:t xml:space="preserve">debt </w:t>
      </w:r>
      <w:r w:rsidR="00CB2489">
        <w:rPr>
          <w:szCs w:val="24"/>
        </w:rPr>
        <w:t xml:space="preserve">claims </w:t>
      </w:r>
      <w:r w:rsidR="00BE5841">
        <w:rPr>
          <w:szCs w:val="24"/>
        </w:rPr>
        <w:t>backed by</w:t>
      </w:r>
      <w:r w:rsidR="00CB2489">
        <w:rPr>
          <w:szCs w:val="24"/>
        </w:rPr>
        <w:t xml:space="preserve"> cash flows from those pools</w:t>
      </w:r>
      <w:r w:rsidR="00D7334E">
        <w:rPr>
          <w:szCs w:val="24"/>
        </w:rPr>
        <w:t xml:space="preserve">. </w:t>
      </w:r>
      <w:r w:rsidR="00CB2489">
        <w:rPr>
          <w:szCs w:val="24"/>
        </w:rPr>
        <w:t xml:space="preserve">In other words, </w:t>
      </w:r>
      <w:r w:rsidR="00BE5841">
        <w:rPr>
          <w:szCs w:val="24"/>
        </w:rPr>
        <w:t xml:space="preserve">the interest and principal on </w:t>
      </w:r>
      <w:r w:rsidR="00CB2489">
        <w:rPr>
          <w:szCs w:val="24"/>
        </w:rPr>
        <w:t xml:space="preserve">“mortgage-backed” </w:t>
      </w:r>
      <w:r w:rsidR="00BA4324">
        <w:rPr>
          <w:szCs w:val="24"/>
        </w:rPr>
        <w:t xml:space="preserve">securities </w:t>
      </w:r>
      <w:r w:rsidR="00583A40">
        <w:rPr>
          <w:szCs w:val="24"/>
        </w:rPr>
        <w:t xml:space="preserve">(MBSs) </w:t>
      </w:r>
      <w:r w:rsidR="00BA4324">
        <w:rPr>
          <w:szCs w:val="24"/>
        </w:rPr>
        <w:t xml:space="preserve">paid to investors </w:t>
      </w:r>
      <w:r w:rsidR="00BE5841">
        <w:rPr>
          <w:szCs w:val="24"/>
        </w:rPr>
        <w:t xml:space="preserve">came from </w:t>
      </w:r>
      <w:r w:rsidR="00BA4324">
        <w:rPr>
          <w:szCs w:val="24"/>
        </w:rPr>
        <w:t>mortgage payments by residential homeowners</w:t>
      </w:r>
      <w:r w:rsidR="00D7334E">
        <w:rPr>
          <w:szCs w:val="24"/>
        </w:rPr>
        <w:t xml:space="preserve">. </w:t>
      </w:r>
      <w:r w:rsidR="00BA4324">
        <w:rPr>
          <w:szCs w:val="24"/>
        </w:rPr>
        <w:t xml:space="preserve">Securitization facilitated investment in mortgages by </w:t>
      </w:r>
      <w:r w:rsidR="00F21440">
        <w:rPr>
          <w:szCs w:val="24"/>
        </w:rPr>
        <w:t>unbundling</w:t>
      </w:r>
      <w:r w:rsidR="00BE5841">
        <w:rPr>
          <w:szCs w:val="24"/>
        </w:rPr>
        <w:t xml:space="preserve"> risk</w:t>
      </w:r>
      <w:r w:rsidR="00D7334E">
        <w:rPr>
          <w:szCs w:val="24"/>
        </w:rPr>
        <w:t xml:space="preserve">. </w:t>
      </w:r>
      <w:r w:rsidR="00BE5841">
        <w:rPr>
          <w:szCs w:val="24"/>
        </w:rPr>
        <w:t xml:space="preserve">Lenders </w:t>
      </w:r>
      <w:r w:rsidR="008D360C">
        <w:rPr>
          <w:szCs w:val="24"/>
        </w:rPr>
        <w:t>might need</w:t>
      </w:r>
      <w:r w:rsidR="00BA4324">
        <w:rPr>
          <w:szCs w:val="24"/>
        </w:rPr>
        <w:t xml:space="preserve"> </w:t>
      </w:r>
      <w:r w:rsidR="00BE5841">
        <w:rPr>
          <w:szCs w:val="24"/>
        </w:rPr>
        <w:t>their</w:t>
      </w:r>
      <w:r w:rsidR="008D360C">
        <w:rPr>
          <w:szCs w:val="24"/>
        </w:rPr>
        <w:t xml:space="preserve"> </w:t>
      </w:r>
      <w:r w:rsidR="00F21440">
        <w:rPr>
          <w:szCs w:val="24"/>
        </w:rPr>
        <w:t>funds</w:t>
      </w:r>
      <w:r w:rsidR="008D360C">
        <w:rPr>
          <w:szCs w:val="24"/>
        </w:rPr>
        <w:t xml:space="preserve"> before the mortgage is </w:t>
      </w:r>
      <w:r w:rsidR="00F21440">
        <w:rPr>
          <w:szCs w:val="24"/>
        </w:rPr>
        <w:t>re</w:t>
      </w:r>
      <w:r w:rsidR="008D360C">
        <w:rPr>
          <w:szCs w:val="24"/>
        </w:rPr>
        <w:t xml:space="preserve">paid </w:t>
      </w:r>
      <w:r w:rsidR="00DC034C">
        <w:rPr>
          <w:szCs w:val="24"/>
        </w:rPr>
        <w:t xml:space="preserve">or lose money if the </w:t>
      </w:r>
      <w:r w:rsidR="008D360C">
        <w:rPr>
          <w:szCs w:val="24"/>
        </w:rPr>
        <w:t>homeowner default</w:t>
      </w:r>
      <w:r w:rsidR="00DC034C">
        <w:rPr>
          <w:szCs w:val="24"/>
        </w:rPr>
        <w:t>s</w:t>
      </w:r>
      <w:r w:rsidR="00D7334E">
        <w:rPr>
          <w:szCs w:val="24"/>
        </w:rPr>
        <w:t xml:space="preserve">. </w:t>
      </w:r>
      <w:r w:rsidR="008D360C">
        <w:rPr>
          <w:szCs w:val="24"/>
        </w:rPr>
        <w:t>Securitization allows mortgage originator</w:t>
      </w:r>
      <w:r w:rsidR="00BE5841">
        <w:rPr>
          <w:szCs w:val="24"/>
        </w:rPr>
        <w:t>s</w:t>
      </w:r>
      <w:r w:rsidR="008D360C">
        <w:rPr>
          <w:szCs w:val="24"/>
        </w:rPr>
        <w:t xml:space="preserve"> to earn fees from making </w:t>
      </w:r>
      <w:r w:rsidR="00F21440">
        <w:rPr>
          <w:szCs w:val="24"/>
        </w:rPr>
        <w:t xml:space="preserve">the </w:t>
      </w:r>
      <w:r w:rsidR="008D360C">
        <w:rPr>
          <w:szCs w:val="24"/>
        </w:rPr>
        <w:t>loan</w:t>
      </w:r>
      <w:r w:rsidR="00BE5841">
        <w:rPr>
          <w:szCs w:val="24"/>
        </w:rPr>
        <w:t>s</w:t>
      </w:r>
      <w:r w:rsidR="008D360C">
        <w:rPr>
          <w:szCs w:val="24"/>
        </w:rPr>
        <w:t xml:space="preserve"> but </w:t>
      </w:r>
      <w:r w:rsidR="00F21440">
        <w:rPr>
          <w:szCs w:val="24"/>
        </w:rPr>
        <w:t xml:space="preserve">then </w:t>
      </w:r>
      <w:r w:rsidR="00BE5841">
        <w:rPr>
          <w:szCs w:val="24"/>
        </w:rPr>
        <w:t>reduce</w:t>
      </w:r>
      <w:r w:rsidR="008D360C">
        <w:rPr>
          <w:szCs w:val="24"/>
        </w:rPr>
        <w:t xml:space="preserve"> liquidity and credit risk by selling the mortgage to a </w:t>
      </w:r>
      <w:proofErr w:type="spellStart"/>
      <w:r w:rsidR="008D360C">
        <w:rPr>
          <w:szCs w:val="24"/>
        </w:rPr>
        <w:t>securitizer</w:t>
      </w:r>
      <w:proofErr w:type="spellEnd"/>
      <w:r w:rsidR="00F21440">
        <w:rPr>
          <w:szCs w:val="24"/>
        </w:rPr>
        <w:t xml:space="preserve"> (</w:t>
      </w:r>
      <w:r w:rsidR="00DC034C">
        <w:rPr>
          <w:szCs w:val="24"/>
        </w:rPr>
        <w:t>who</w:t>
      </w:r>
      <w:r w:rsidR="00F21440">
        <w:rPr>
          <w:szCs w:val="24"/>
        </w:rPr>
        <w:t>, in turn,</w:t>
      </w:r>
      <w:r w:rsidR="00DC034C">
        <w:rPr>
          <w:szCs w:val="24"/>
        </w:rPr>
        <w:t xml:space="preserve"> </w:t>
      </w:r>
      <w:r w:rsidR="00355AEE">
        <w:rPr>
          <w:szCs w:val="24"/>
        </w:rPr>
        <w:t xml:space="preserve">creates a security with cash flows </w:t>
      </w:r>
      <w:r w:rsidR="00BE5841">
        <w:rPr>
          <w:szCs w:val="24"/>
        </w:rPr>
        <w:t>tailor</w:t>
      </w:r>
      <w:r w:rsidR="00355AEE">
        <w:rPr>
          <w:szCs w:val="24"/>
        </w:rPr>
        <w:t xml:space="preserve">ed to </w:t>
      </w:r>
      <w:r w:rsidR="00F21440">
        <w:rPr>
          <w:szCs w:val="24"/>
        </w:rPr>
        <w:t xml:space="preserve">the preferences of </w:t>
      </w:r>
      <w:r w:rsidR="008D360C">
        <w:rPr>
          <w:szCs w:val="24"/>
        </w:rPr>
        <w:t>market investors</w:t>
      </w:r>
      <w:r w:rsidR="00F21440">
        <w:rPr>
          <w:szCs w:val="24"/>
        </w:rPr>
        <w:t>)</w:t>
      </w:r>
      <w:r w:rsidR="00D7334E">
        <w:rPr>
          <w:szCs w:val="24"/>
        </w:rPr>
        <w:t xml:space="preserve">. </w:t>
      </w:r>
      <w:r w:rsidR="008D360C">
        <w:rPr>
          <w:szCs w:val="24"/>
        </w:rPr>
        <w:t xml:space="preserve">Securitizing mortgages </w:t>
      </w:r>
      <w:r w:rsidR="00DC034C">
        <w:rPr>
          <w:szCs w:val="24"/>
        </w:rPr>
        <w:t>promotes efficient</w:t>
      </w:r>
      <w:r w:rsidR="008D360C">
        <w:rPr>
          <w:szCs w:val="24"/>
        </w:rPr>
        <w:t xml:space="preserve"> </w:t>
      </w:r>
      <w:r w:rsidR="00F21440">
        <w:rPr>
          <w:szCs w:val="24"/>
        </w:rPr>
        <w:t xml:space="preserve">risk </w:t>
      </w:r>
      <w:r w:rsidR="008D360C">
        <w:rPr>
          <w:szCs w:val="24"/>
        </w:rPr>
        <w:t xml:space="preserve">sharing, which in turn, makes </w:t>
      </w:r>
      <w:r w:rsidR="00FD0BB5">
        <w:rPr>
          <w:szCs w:val="24"/>
        </w:rPr>
        <w:t>the real-estate sector</w:t>
      </w:r>
      <w:r w:rsidR="00DC034C">
        <w:rPr>
          <w:szCs w:val="24"/>
        </w:rPr>
        <w:t xml:space="preserve"> a more attractive place to invest</w:t>
      </w:r>
      <w:r w:rsidR="00D7334E">
        <w:rPr>
          <w:szCs w:val="24"/>
        </w:rPr>
        <w:t xml:space="preserve">. </w:t>
      </w:r>
    </w:p>
    <w:p w:rsidR="00355AEE" w:rsidRDefault="00355AEE" w:rsidP="00EF329C">
      <w:pPr>
        <w:pStyle w:val="MCQList1"/>
        <w:keepNext w:val="0"/>
        <w:tabs>
          <w:tab w:val="clear" w:pos="274"/>
          <w:tab w:val="clear" w:pos="446"/>
        </w:tabs>
        <w:spacing w:before="0" w:after="240"/>
        <w:ind w:left="1008" w:hanging="576"/>
        <w:jc w:val="both"/>
      </w:pPr>
      <w:r>
        <w:rPr>
          <w:szCs w:val="24"/>
        </w:rPr>
        <w:t>2-16</w:t>
      </w:r>
      <w:r>
        <w:rPr>
          <w:szCs w:val="24"/>
        </w:rPr>
        <w:tab/>
        <w:t>A mortgage-backed security (MBS) is a debt instrument backed by residential mortgages</w:t>
      </w:r>
      <w:r w:rsidR="00D7334E">
        <w:rPr>
          <w:szCs w:val="24"/>
        </w:rPr>
        <w:t xml:space="preserve">. </w:t>
      </w:r>
      <w:r>
        <w:rPr>
          <w:szCs w:val="24"/>
        </w:rPr>
        <w:t xml:space="preserve">“Backed” means principal and interest paid to </w:t>
      </w:r>
      <w:r w:rsidR="00BD3BB8">
        <w:rPr>
          <w:szCs w:val="24"/>
        </w:rPr>
        <w:t xml:space="preserve">MBS investors </w:t>
      </w:r>
      <w:r>
        <w:rPr>
          <w:szCs w:val="24"/>
        </w:rPr>
        <w:t xml:space="preserve">come from payments by </w:t>
      </w:r>
      <w:r w:rsidR="00BD3BB8">
        <w:rPr>
          <w:szCs w:val="24"/>
        </w:rPr>
        <w:t xml:space="preserve">residential homeowners </w:t>
      </w:r>
      <w:r w:rsidR="00F21440">
        <w:rPr>
          <w:szCs w:val="24"/>
        </w:rPr>
        <w:t>with</w:t>
      </w:r>
      <w:r w:rsidR="00BD3BB8">
        <w:rPr>
          <w:szCs w:val="24"/>
        </w:rPr>
        <w:t xml:space="preserve"> mortgages in the underlying pool</w:t>
      </w:r>
      <w:r w:rsidR="00D7334E">
        <w:rPr>
          <w:szCs w:val="24"/>
        </w:rPr>
        <w:t xml:space="preserve">. </w:t>
      </w:r>
      <w:r w:rsidR="00BD3BB8">
        <w:t xml:space="preserve">The primary </w:t>
      </w:r>
      <w:r w:rsidR="004A0447">
        <w:t xml:space="preserve">MBS </w:t>
      </w:r>
      <w:r w:rsidR="00BD3BB8">
        <w:t xml:space="preserve">risk </w:t>
      </w:r>
      <w:r w:rsidR="007740E1">
        <w:t xml:space="preserve">is </w:t>
      </w:r>
      <w:r w:rsidR="00BD3BB8">
        <w:t xml:space="preserve">credit </w:t>
      </w:r>
      <w:proofErr w:type="gramStart"/>
      <w:r w:rsidR="00BD3BB8">
        <w:t>risk</w:t>
      </w:r>
      <w:r w:rsidR="004A0447">
        <w:t>,</w:t>
      </w:r>
      <w:proofErr w:type="gramEnd"/>
      <w:r w:rsidR="004A0447">
        <w:t xml:space="preserve"> </w:t>
      </w:r>
      <w:r w:rsidR="00BD3BB8">
        <w:t xml:space="preserve">the </w:t>
      </w:r>
      <w:r w:rsidR="004D42E3">
        <w:t xml:space="preserve">chance </w:t>
      </w:r>
      <w:r w:rsidR="00BD3BB8">
        <w:t>homeowner</w:t>
      </w:r>
      <w:r w:rsidR="00BB3A20">
        <w:t xml:space="preserve">s will </w:t>
      </w:r>
      <w:r w:rsidR="004A0447">
        <w:t xml:space="preserve">not </w:t>
      </w:r>
      <w:r w:rsidR="00F21440">
        <w:t xml:space="preserve">make </w:t>
      </w:r>
      <w:r w:rsidR="00BB3A20">
        <w:t xml:space="preserve">monthly </w:t>
      </w:r>
      <w:r w:rsidR="00BD3BB8">
        <w:t xml:space="preserve">principal and interest </w:t>
      </w:r>
      <w:r w:rsidR="00BB3A20">
        <w:t xml:space="preserve">payments </w:t>
      </w:r>
      <w:r w:rsidR="00A84C38">
        <w:t xml:space="preserve">as </w:t>
      </w:r>
      <w:r w:rsidR="00BD3BB8">
        <w:t xml:space="preserve">stipulated </w:t>
      </w:r>
      <w:r w:rsidR="00A84C38">
        <w:t>in</w:t>
      </w:r>
      <w:r w:rsidR="00BD3BB8">
        <w:t xml:space="preserve"> their mortgage contracts. </w:t>
      </w:r>
    </w:p>
    <w:p w:rsidR="000C161E" w:rsidRDefault="000C161E" w:rsidP="00EF329C">
      <w:pPr>
        <w:pStyle w:val="MCQList1"/>
        <w:keepNext w:val="0"/>
        <w:tabs>
          <w:tab w:val="clear" w:pos="274"/>
          <w:tab w:val="clear" w:pos="446"/>
        </w:tabs>
        <w:spacing w:before="0" w:after="240"/>
        <w:ind w:left="1008" w:hanging="576"/>
        <w:jc w:val="both"/>
        <w:rPr>
          <w:szCs w:val="24"/>
        </w:rPr>
      </w:pPr>
      <w:r>
        <w:lastRenderedPageBreak/>
        <w:t>2-17</w:t>
      </w:r>
      <w:r>
        <w:tab/>
      </w:r>
      <w:proofErr w:type="gramStart"/>
      <w:r>
        <w:t>When</w:t>
      </w:r>
      <w:proofErr w:type="gramEnd"/>
      <w:r>
        <w:t xml:space="preserve"> a </w:t>
      </w:r>
      <w:r w:rsidR="0033667A">
        <w:t>home buyer</w:t>
      </w:r>
      <w:r>
        <w:t xml:space="preserve"> </w:t>
      </w:r>
      <w:r w:rsidR="0014614E">
        <w:t>takes out a mortgage</w:t>
      </w:r>
      <w:r>
        <w:t xml:space="preserve">, </w:t>
      </w:r>
      <w:r w:rsidR="00F47AD5">
        <w:t>i</w:t>
      </w:r>
      <w:r>
        <w:t>nitial equity</w:t>
      </w:r>
      <w:r w:rsidR="00946907">
        <w:t>—</w:t>
      </w:r>
      <w:r>
        <w:t xml:space="preserve">the difference between purchase price and mortgage-loan </w:t>
      </w:r>
      <w:r w:rsidR="00A84C38">
        <w:t>balance</w:t>
      </w:r>
      <w:r w:rsidR="00946907">
        <w:t>—</w:t>
      </w:r>
      <w:r>
        <w:t xml:space="preserve">is simply </w:t>
      </w:r>
      <w:r w:rsidR="00A84C38">
        <w:t>the</w:t>
      </w:r>
      <w:r w:rsidR="00BB3A20">
        <w:t xml:space="preserve"> </w:t>
      </w:r>
      <w:r>
        <w:t>down payment</w:t>
      </w:r>
      <w:r w:rsidR="00D7334E">
        <w:t xml:space="preserve">. </w:t>
      </w:r>
      <w:r w:rsidR="00F47AD5">
        <w:t xml:space="preserve">Over time, </w:t>
      </w:r>
      <w:r w:rsidR="007740E1">
        <w:t xml:space="preserve">equity will rise as the borrower reduces </w:t>
      </w:r>
      <w:r w:rsidR="00F47AD5">
        <w:t xml:space="preserve">the mortgage balance </w:t>
      </w:r>
      <w:r w:rsidR="007740E1">
        <w:t xml:space="preserve">with </w:t>
      </w:r>
      <w:r w:rsidR="00F47AD5">
        <w:t>monthly principal and interest payments</w:t>
      </w:r>
      <w:r w:rsidR="00D7334E">
        <w:t xml:space="preserve">. </w:t>
      </w:r>
      <w:r w:rsidR="00F47AD5">
        <w:t xml:space="preserve">Should </w:t>
      </w:r>
      <w:r>
        <w:t xml:space="preserve">housing prices </w:t>
      </w:r>
      <w:proofErr w:type="gramStart"/>
      <w:r>
        <w:t>rise</w:t>
      </w:r>
      <w:proofErr w:type="gramEnd"/>
      <w:r>
        <w:t xml:space="preserve">, the gap between </w:t>
      </w:r>
      <w:r w:rsidR="00A84C38">
        <w:t xml:space="preserve">house value and mortgage balance </w:t>
      </w:r>
      <w:r w:rsidR="00F47AD5">
        <w:t>will widen further</w:t>
      </w:r>
      <w:r w:rsidR="00946907">
        <w:t>—</w:t>
      </w:r>
      <w:r w:rsidR="0033667A">
        <w:t>that is to say</w:t>
      </w:r>
      <w:r w:rsidR="00A84C38">
        <w:t>,</w:t>
      </w:r>
      <w:r w:rsidR="0033667A">
        <w:t xml:space="preserve"> </w:t>
      </w:r>
      <w:r w:rsidR="00A84C38">
        <w:t xml:space="preserve">home </w:t>
      </w:r>
      <w:r w:rsidRPr="00EF329C">
        <w:rPr>
          <w:szCs w:val="24"/>
        </w:rPr>
        <w:t>equity</w:t>
      </w:r>
      <w:r>
        <w:t xml:space="preserve"> rises</w:t>
      </w:r>
      <w:r w:rsidR="00F47AD5">
        <w:t xml:space="preserve"> even faster</w:t>
      </w:r>
      <w:r w:rsidR="00D7334E">
        <w:t xml:space="preserve">. </w:t>
      </w:r>
      <w:r>
        <w:t xml:space="preserve">If </w:t>
      </w:r>
      <w:r w:rsidR="00F47AD5">
        <w:t>a</w:t>
      </w:r>
      <w:r>
        <w:t xml:space="preserve"> borrower </w:t>
      </w:r>
      <w:r w:rsidR="007740E1">
        <w:t>needs</w:t>
      </w:r>
      <w:r w:rsidR="00F47AD5">
        <w:t xml:space="preserve"> to skip</w:t>
      </w:r>
      <w:r w:rsidR="00A84C38">
        <w:t xml:space="preserve"> a mortgage payment</w:t>
      </w:r>
      <w:r w:rsidR="0014614E">
        <w:t xml:space="preserve">, </w:t>
      </w:r>
      <w:r w:rsidR="00A84C38">
        <w:t>the lender</w:t>
      </w:r>
      <w:r w:rsidR="0014614E">
        <w:t xml:space="preserve"> </w:t>
      </w:r>
      <w:r>
        <w:t xml:space="preserve">will </w:t>
      </w:r>
      <w:r w:rsidR="00A84C38">
        <w:t xml:space="preserve">typically </w:t>
      </w:r>
      <w:r>
        <w:t xml:space="preserve">allow </w:t>
      </w:r>
      <w:r w:rsidR="0014614E">
        <w:t xml:space="preserve">her to </w:t>
      </w:r>
      <w:r>
        <w:t>tap equity</w:t>
      </w:r>
      <w:r w:rsidR="00D7334E">
        <w:t xml:space="preserve">. </w:t>
      </w:r>
      <w:r w:rsidR="0014614E">
        <w:t xml:space="preserve">Rising prices also </w:t>
      </w:r>
      <w:r w:rsidR="0033667A">
        <w:t xml:space="preserve">imply </w:t>
      </w:r>
      <w:r w:rsidR="0014614E">
        <w:t xml:space="preserve">a vibrant housing market, so </w:t>
      </w:r>
      <w:r w:rsidR="00F47AD5">
        <w:t xml:space="preserve">a </w:t>
      </w:r>
      <w:r w:rsidR="0014614E">
        <w:t xml:space="preserve">borrower </w:t>
      </w:r>
      <w:r w:rsidR="0033667A">
        <w:t xml:space="preserve">permanently unable </w:t>
      </w:r>
      <w:r w:rsidR="00BB3A20">
        <w:t xml:space="preserve">to </w:t>
      </w:r>
      <w:r w:rsidR="007740E1">
        <w:t>make the monthly</w:t>
      </w:r>
      <w:r w:rsidR="0014614E">
        <w:t xml:space="preserve"> payments can easily sell </w:t>
      </w:r>
      <w:r w:rsidR="00F47AD5">
        <w:t>her home</w:t>
      </w:r>
      <w:r w:rsidR="0014614E">
        <w:t xml:space="preserve"> to pay off the </w:t>
      </w:r>
      <w:r w:rsidR="007740E1">
        <w:t>mortgage</w:t>
      </w:r>
      <w:r w:rsidR="00D7334E">
        <w:t xml:space="preserve">. </w:t>
      </w:r>
    </w:p>
    <w:p w:rsidR="002B26B9" w:rsidRPr="00E55791" w:rsidRDefault="00BB3A20" w:rsidP="00EF329C">
      <w:pPr>
        <w:pStyle w:val="MCQList1"/>
        <w:keepNext w:val="0"/>
        <w:tabs>
          <w:tab w:val="clear" w:pos="274"/>
          <w:tab w:val="clear" w:pos="446"/>
        </w:tabs>
        <w:spacing w:before="0" w:after="240"/>
        <w:ind w:left="1008" w:hanging="576"/>
        <w:jc w:val="both"/>
      </w:pPr>
      <w:r>
        <w:t>2-18</w:t>
      </w:r>
      <w:r w:rsidR="006418AB">
        <w:t>.</w:t>
      </w:r>
      <w:r w:rsidR="006418AB">
        <w:tab/>
      </w:r>
      <w:r w:rsidR="002B26B9" w:rsidRPr="00E55791">
        <w:t xml:space="preserve">A large decline in housing prices could push the value of a borrower’s home below </w:t>
      </w:r>
      <w:r w:rsidR="002D739C">
        <w:t>the mortgage balance</w:t>
      </w:r>
      <w:r w:rsidR="00D7334E">
        <w:t xml:space="preserve">. </w:t>
      </w:r>
      <w:r w:rsidR="00031A55">
        <w:t xml:space="preserve">With negative equity, </w:t>
      </w:r>
      <w:r w:rsidR="002B26B9" w:rsidRPr="00E55791">
        <w:t xml:space="preserve">the borrower could </w:t>
      </w:r>
      <w:r w:rsidR="002D739C">
        <w:t>hold</w:t>
      </w:r>
      <w:r w:rsidR="00031A55">
        <w:t xml:space="preserve"> the loss at the original down payment by </w:t>
      </w:r>
      <w:r w:rsidR="006F2875">
        <w:t>allowing</w:t>
      </w:r>
      <w:r w:rsidR="00031A55">
        <w:t xml:space="preserve"> </w:t>
      </w:r>
      <w:r w:rsidR="002B26B9" w:rsidRPr="00E55791">
        <w:t xml:space="preserve">the lender </w:t>
      </w:r>
      <w:r w:rsidR="00A70EBE">
        <w:t xml:space="preserve">to </w:t>
      </w:r>
      <w:r w:rsidR="002B26B9" w:rsidRPr="00E55791">
        <w:t>foreclose</w:t>
      </w:r>
      <w:r w:rsidR="00D7334E">
        <w:t xml:space="preserve">. </w:t>
      </w:r>
      <w:r w:rsidR="00031A55">
        <w:t xml:space="preserve">The only cost </w:t>
      </w:r>
      <w:r w:rsidR="002B26B9" w:rsidRPr="00E55791">
        <w:t xml:space="preserve">would </w:t>
      </w:r>
      <w:r w:rsidR="00031A55">
        <w:t xml:space="preserve">be </w:t>
      </w:r>
      <w:r w:rsidR="002B26B9" w:rsidRPr="00E55791">
        <w:t xml:space="preserve">the negative impact on </w:t>
      </w:r>
      <w:r w:rsidR="002D739C">
        <w:t>the borrower’s</w:t>
      </w:r>
      <w:r w:rsidR="002B26B9" w:rsidRPr="00E55791">
        <w:t xml:space="preserve"> credit score</w:t>
      </w:r>
      <w:r w:rsidR="00D7334E">
        <w:t xml:space="preserve">. </w:t>
      </w:r>
      <w:r w:rsidR="00031A55">
        <w:t xml:space="preserve">But if </w:t>
      </w:r>
      <w:r w:rsidR="00020E51">
        <w:t xml:space="preserve">the decline in housing prices has led many other homeowners to </w:t>
      </w:r>
      <w:r w:rsidR="002B26B9" w:rsidRPr="00E55791">
        <w:t xml:space="preserve">walk away from </w:t>
      </w:r>
      <w:r w:rsidR="00020E51">
        <w:t xml:space="preserve">their </w:t>
      </w:r>
      <w:r w:rsidR="00E55791" w:rsidRPr="00E55791">
        <w:t xml:space="preserve">mortgages, </w:t>
      </w:r>
      <w:r w:rsidR="00020E51">
        <w:t>this borrower may not be too concerned about the blot on her credit report, thinking future lenders will understand the circumstances</w:t>
      </w:r>
      <w:r w:rsidR="00E55791" w:rsidRPr="00E55791">
        <w:t xml:space="preserve">. </w:t>
      </w:r>
    </w:p>
    <w:p w:rsidR="006418AB" w:rsidRDefault="006418AB" w:rsidP="00EF329C">
      <w:pPr>
        <w:pStyle w:val="MCQList1"/>
        <w:keepNext w:val="0"/>
        <w:tabs>
          <w:tab w:val="clear" w:pos="274"/>
          <w:tab w:val="clear" w:pos="446"/>
        </w:tabs>
        <w:spacing w:before="0" w:after="240"/>
        <w:ind w:left="1008" w:hanging="576"/>
        <w:jc w:val="both"/>
        <w:rPr>
          <w:szCs w:val="24"/>
        </w:rPr>
      </w:pPr>
      <w:r w:rsidRPr="00884BA4">
        <w:t>2</w:t>
      </w:r>
      <w:r w:rsidR="00BB3A20" w:rsidRPr="00884BA4">
        <w:t>-19</w:t>
      </w:r>
      <w:r w:rsidR="00BB3A20" w:rsidRPr="00884BA4">
        <w:tab/>
      </w:r>
      <w:r w:rsidR="00884BA4">
        <w:t>The Great Recession of 2007</w:t>
      </w:r>
      <w:r w:rsidR="00946907">
        <w:t>–</w:t>
      </w:r>
      <w:r w:rsidR="00884BA4">
        <w:t xml:space="preserve">09 </w:t>
      </w:r>
      <w:r w:rsidR="00BC45D4">
        <w:t>illustrates</w:t>
      </w:r>
      <w:r w:rsidR="00884BA4">
        <w:t xml:space="preserve"> how a financial-sector crisis can </w:t>
      </w:r>
      <w:r w:rsidR="00031A55">
        <w:t>metastasize</w:t>
      </w:r>
      <w:r w:rsidR="00D7334E">
        <w:t xml:space="preserve">. </w:t>
      </w:r>
      <w:r w:rsidR="00884BA4">
        <w:t xml:space="preserve">In the years running up to the recession, </w:t>
      </w:r>
      <w:proofErr w:type="spellStart"/>
      <w:r w:rsidR="00884BA4">
        <w:t>securitizers</w:t>
      </w:r>
      <w:proofErr w:type="spellEnd"/>
      <w:r w:rsidR="00884BA4">
        <w:t xml:space="preserve"> increasingly pooled </w:t>
      </w:r>
      <w:r w:rsidR="00570725">
        <w:t>mortgage loans to borrowers with less-than-stellar credit</w:t>
      </w:r>
      <w:r w:rsidR="00D7334E">
        <w:t xml:space="preserve">. </w:t>
      </w:r>
      <w:r w:rsidR="00570725">
        <w:t xml:space="preserve">At the time, </w:t>
      </w:r>
      <w:r w:rsidR="00A51FFC">
        <w:t xml:space="preserve">“subprime” </w:t>
      </w:r>
      <w:r w:rsidR="00570725">
        <w:t>loans seemed relatively low risk because of rapidly rising housing prices</w:t>
      </w:r>
      <w:r w:rsidR="00D7334E">
        <w:t xml:space="preserve">. </w:t>
      </w:r>
      <w:r w:rsidR="00570725">
        <w:t xml:space="preserve">Then, </w:t>
      </w:r>
      <w:r w:rsidR="0098511F">
        <w:t xml:space="preserve">when home prices began to level off (and even </w:t>
      </w:r>
      <w:r w:rsidR="002E13E6">
        <w:t>dip</w:t>
      </w:r>
      <w:r w:rsidR="0098511F">
        <w:t xml:space="preserve"> in some markets), mortgage delinquencies and defaults started </w:t>
      </w:r>
      <w:r w:rsidR="002E13E6">
        <w:t>climbing</w:t>
      </w:r>
      <w:r w:rsidR="00D7334E">
        <w:t xml:space="preserve">. </w:t>
      </w:r>
      <w:r w:rsidR="0098511F">
        <w:t xml:space="preserve">With payments on underlying mortgages falling, the </w:t>
      </w:r>
      <w:r w:rsidR="0098511F" w:rsidRPr="00EF329C">
        <w:rPr>
          <w:szCs w:val="24"/>
        </w:rPr>
        <w:t>value</w:t>
      </w:r>
      <w:r w:rsidR="0098511F">
        <w:t xml:space="preserve"> of mortgage-back securities (MBSs) began to fall as well</w:t>
      </w:r>
      <w:r w:rsidR="00D7334E">
        <w:t xml:space="preserve">. </w:t>
      </w:r>
      <w:r w:rsidR="0098511F">
        <w:t>Large investment banks (like Lehmann Brothers) and commercial banks (</w:t>
      </w:r>
      <w:r w:rsidR="002E13E6">
        <w:t xml:space="preserve">like </w:t>
      </w:r>
      <w:r w:rsidR="0098511F">
        <w:t>Citibank) held considerable inventories o</w:t>
      </w:r>
      <w:r w:rsidR="00A51FFC">
        <w:t>f now-</w:t>
      </w:r>
      <w:r w:rsidR="0098511F">
        <w:t>problematic MBSs</w:t>
      </w:r>
      <w:r w:rsidR="00D7334E">
        <w:t xml:space="preserve">. </w:t>
      </w:r>
      <w:r w:rsidR="0098511F">
        <w:t xml:space="preserve">To </w:t>
      </w:r>
      <w:r w:rsidR="008B7611">
        <w:t xml:space="preserve">offset rising </w:t>
      </w:r>
      <w:r w:rsidR="00A51FFC">
        <w:t xml:space="preserve">MBS </w:t>
      </w:r>
      <w:r w:rsidR="008B7611">
        <w:t xml:space="preserve">losses, commercial banks </w:t>
      </w:r>
      <w:r w:rsidR="008C0849">
        <w:t>sharply curbed lending</w:t>
      </w:r>
      <w:r w:rsidR="008B7611">
        <w:t>, which produced an economy-wide decline in consumer and investment spending</w:t>
      </w:r>
      <w:r w:rsidR="00D7334E">
        <w:t xml:space="preserve">. </w:t>
      </w:r>
      <w:r w:rsidR="008B7611">
        <w:t xml:space="preserve">Investment banks, meanwhile, </w:t>
      </w:r>
      <w:r w:rsidR="008C0849">
        <w:t xml:space="preserve">were </w:t>
      </w:r>
      <w:r w:rsidR="008B7611">
        <w:t>large players in the money market</w:t>
      </w:r>
      <w:r w:rsidR="00946907">
        <w:t>—</w:t>
      </w:r>
      <w:r w:rsidR="00395537">
        <w:t>L</w:t>
      </w:r>
      <w:r w:rsidR="008B7611">
        <w:t xml:space="preserve">ehmann, for example, </w:t>
      </w:r>
      <w:r w:rsidR="00065091">
        <w:t xml:space="preserve">routinely </w:t>
      </w:r>
      <w:r w:rsidR="00395537">
        <w:t xml:space="preserve">sold a large amount </w:t>
      </w:r>
      <w:r w:rsidR="008C0849">
        <w:t xml:space="preserve">of </w:t>
      </w:r>
      <w:r w:rsidR="008B7611">
        <w:t>commercial paper (short-term unsecured corporate debt)</w:t>
      </w:r>
      <w:r w:rsidR="00D7334E">
        <w:t xml:space="preserve">. </w:t>
      </w:r>
      <w:r w:rsidR="008B7611">
        <w:t xml:space="preserve">When </w:t>
      </w:r>
      <w:r w:rsidR="008C0849">
        <w:t>the firm</w:t>
      </w:r>
      <w:r w:rsidR="008B7611">
        <w:t xml:space="preserve"> collapsed almost overnight</w:t>
      </w:r>
      <w:r w:rsidR="00065091">
        <w:t xml:space="preserve"> (</w:t>
      </w:r>
      <w:r w:rsidR="008C0849">
        <w:t>rendering</w:t>
      </w:r>
      <w:r w:rsidR="00065091">
        <w:t xml:space="preserve"> its commercial paper worthless)</w:t>
      </w:r>
      <w:r w:rsidR="008B7611">
        <w:t xml:space="preserve">, </w:t>
      </w:r>
      <w:r w:rsidR="00A51FFC">
        <w:t xml:space="preserve">the money market froze as investors became wary of </w:t>
      </w:r>
      <w:r w:rsidR="00395537">
        <w:t xml:space="preserve">all </w:t>
      </w:r>
      <w:r w:rsidR="008C0849">
        <w:t>unsecured debt</w:t>
      </w:r>
      <w:r w:rsidR="00D7334E">
        <w:t xml:space="preserve">. </w:t>
      </w:r>
      <w:r w:rsidR="00A51FFC">
        <w:t xml:space="preserve">Now, nonfinancial companies that </w:t>
      </w:r>
      <w:r w:rsidR="006F2875">
        <w:t xml:space="preserve">regularly tapped the </w:t>
      </w:r>
      <w:r w:rsidR="00A51FFC">
        <w:t xml:space="preserve">money market </w:t>
      </w:r>
      <w:r w:rsidR="006F2875">
        <w:t xml:space="preserve">for short-term funding </w:t>
      </w:r>
      <w:r w:rsidR="00A51FFC">
        <w:t xml:space="preserve">found themselves </w:t>
      </w:r>
      <w:r w:rsidR="006F2875">
        <w:t xml:space="preserve">in </w:t>
      </w:r>
      <w:r w:rsidR="00A51FFC">
        <w:t>squeeze</w:t>
      </w:r>
      <w:r w:rsidR="00D7334E">
        <w:t xml:space="preserve">. </w:t>
      </w:r>
      <w:r w:rsidR="00A51FFC">
        <w:t xml:space="preserve">They responded by slashing costs and hoarding cash, which put even more downward pressure on economy-wide consumer and investment spending. </w:t>
      </w:r>
      <w:r>
        <w:tab/>
      </w:r>
    </w:p>
    <w:p w:rsidR="006418AB" w:rsidRDefault="006418AB" w:rsidP="00B164C1">
      <w:pPr>
        <w:pStyle w:val="awTB01questionHead"/>
        <w:keepNext w:val="0"/>
        <w:numPr>
          <w:ilvl w:val="0"/>
          <w:numId w:val="1"/>
        </w:numPr>
        <w:spacing w:before="480" w:after="240"/>
        <w:ind w:left="432" w:hanging="432"/>
      </w:pPr>
      <w:r>
        <w:t xml:space="preserve">Suggested Answer to </w:t>
      </w:r>
      <w:r>
        <w:rPr>
          <w:i/>
        </w:rPr>
        <w:t xml:space="preserve">Focus on Ethics </w:t>
      </w:r>
      <w:r>
        <w:t>Box:</w:t>
      </w:r>
      <w:r w:rsidR="00946907">
        <w:t xml:space="preserve"> </w:t>
      </w:r>
      <w:r w:rsidR="00B164C1">
        <w:t xml:space="preserve">Should Insider Trading Be Legal? </w:t>
      </w:r>
    </w:p>
    <w:p w:rsidR="006418AB" w:rsidRPr="00B164C1" w:rsidRDefault="00B164C1" w:rsidP="00B164C1">
      <w:pPr>
        <w:pStyle w:val="T1"/>
        <w:keepNext w:val="0"/>
        <w:ind w:left="432"/>
        <w:rPr>
          <w:bCs/>
          <w:i/>
          <w:spacing w:val="-2"/>
        </w:rPr>
      </w:pPr>
      <w:proofErr w:type="gramStart"/>
      <w:r w:rsidRPr="00B164C1">
        <w:rPr>
          <w:bCs/>
          <w:i/>
          <w:spacing w:val="-2"/>
        </w:rPr>
        <w:t>Suppose insider trading were legal</w:t>
      </w:r>
      <w:r w:rsidR="00D7334E">
        <w:rPr>
          <w:bCs/>
          <w:i/>
          <w:spacing w:val="-2"/>
        </w:rPr>
        <w:t>.</w:t>
      </w:r>
      <w:proofErr w:type="gramEnd"/>
      <w:r w:rsidR="00D7334E">
        <w:rPr>
          <w:bCs/>
          <w:i/>
          <w:spacing w:val="-2"/>
        </w:rPr>
        <w:t xml:space="preserve"> </w:t>
      </w:r>
      <w:r w:rsidRPr="00B164C1">
        <w:rPr>
          <w:bCs/>
          <w:i/>
          <w:spacing w:val="-2"/>
        </w:rPr>
        <w:t>Would it still present an ethical issue for insiders wishing to trade on non-public information?</w:t>
      </w:r>
    </w:p>
    <w:p w:rsidR="006418AB" w:rsidRDefault="00B164C1" w:rsidP="00B164C1">
      <w:pPr>
        <w:pStyle w:val="T2"/>
        <w:keepNext w:val="0"/>
        <w:ind w:left="432"/>
      </w:pPr>
      <w:r>
        <w:t xml:space="preserve">Yes, </w:t>
      </w:r>
      <w:r w:rsidR="00A47225">
        <w:t xml:space="preserve">even if legal, </w:t>
      </w:r>
      <w:r>
        <w:t xml:space="preserve">insider trading </w:t>
      </w:r>
      <w:r w:rsidR="00555151">
        <w:t>could</w:t>
      </w:r>
      <w:r>
        <w:t xml:space="preserve"> still </w:t>
      </w:r>
      <w:r w:rsidR="00A47225">
        <w:t>raise</w:t>
      </w:r>
      <w:r>
        <w:t xml:space="preserve"> ethical </w:t>
      </w:r>
      <w:r w:rsidR="00A47225">
        <w:t>concerns</w:t>
      </w:r>
      <w:r w:rsidR="0018246E">
        <w:t xml:space="preserve"> because of potential conflict between </w:t>
      </w:r>
      <w:r w:rsidR="00555151">
        <w:t xml:space="preserve">an executive’s duty to shareholders and her </w:t>
      </w:r>
      <w:r w:rsidR="00A47225">
        <w:t>concern</w:t>
      </w:r>
      <w:r w:rsidR="00555151">
        <w:t xml:space="preserve"> for </w:t>
      </w:r>
      <w:r w:rsidR="00787FE0">
        <w:t>personal</w:t>
      </w:r>
      <w:r w:rsidR="00A47225">
        <w:t xml:space="preserve"> </w:t>
      </w:r>
      <w:r w:rsidR="00555151">
        <w:t>wealth</w:t>
      </w:r>
      <w:r w:rsidR="00D7334E">
        <w:t xml:space="preserve">. </w:t>
      </w:r>
      <w:r>
        <w:t>Suppose</w:t>
      </w:r>
      <w:r w:rsidR="00787FE0">
        <w:t>,</w:t>
      </w:r>
      <w:r>
        <w:t xml:space="preserve"> for example, a</w:t>
      </w:r>
      <w:r w:rsidR="00A47225">
        <w:t xml:space="preserve"> senior </w:t>
      </w:r>
      <w:r>
        <w:t xml:space="preserve">executive </w:t>
      </w:r>
      <w:r w:rsidR="006F4364">
        <w:t>with</w:t>
      </w:r>
      <w:r w:rsidR="00A47225">
        <w:t xml:space="preserve"> </w:t>
      </w:r>
      <w:r w:rsidR="006F4364">
        <w:t xml:space="preserve">considerable </w:t>
      </w:r>
      <w:r>
        <w:t>firm stock learn</w:t>
      </w:r>
      <w:r w:rsidR="00A47225">
        <w:t>ed</w:t>
      </w:r>
      <w:r>
        <w:t xml:space="preserve"> </w:t>
      </w:r>
      <w:r w:rsidR="006F4364">
        <w:t>of</w:t>
      </w:r>
      <w:r>
        <w:t xml:space="preserve"> safety issues with </w:t>
      </w:r>
      <w:r w:rsidR="0018246E">
        <w:t>a</w:t>
      </w:r>
      <w:r>
        <w:t xml:space="preserve"> </w:t>
      </w:r>
      <w:r w:rsidR="006F4364">
        <w:t>popular</w:t>
      </w:r>
      <w:r w:rsidR="0018246E">
        <w:t xml:space="preserve"> </w:t>
      </w:r>
      <w:r>
        <w:t>product</w:t>
      </w:r>
      <w:r w:rsidR="00A47225">
        <w:t xml:space="preserve"> so serious </w:t>
      </w:r>
      <w:r w:rsidR="006F4364">
        <w:t>a massive</w:t>
      </w:r>
      <w:r w:rsidR="00A47225">
        <w:t xml:space="preserve"> </w:t>
      </w:r>
      <w:r w:rsidR="0018246E">
        <w:t xml:space="preserve">recall </w:t>
      </w:r>
      <w:r w:rsidR="00A47225">
        <w:t>might</w:t>
      </w:r>
      <w:r w:rsidR="0018246E">
        <w:t xml:space="preserve"> be necessary</w:t>
      </w:r>
      <w:r w:rsidR="00D7334E">
        <w:t xml:space="preserve">. </w:t>
      </w:r>
      <w:r w:rsidR="0018246E">
        <w:t xml:space="preserve">The executive has a fiduciary duty </w:t>
      </w:r>
      <w:r w:rsidR="005842AE">
        <w:t xml:space="preserve">to </w:t>
      </w:r>
      <w:r w:rsidR="006F4364">
        <w:t xml:space="preserve">work </w:t>
      </w:r>
      <w:r w:rsidR="00787FE0">
        <w:t xml:space="preserve">with </w:t>
      </w:r>
      <w:r w:rsidR="006F4364">
        <w:t xml:space="preserve">the senior management team </w:t>
      </w:r>
      <w:r w:rsidR="0018246E">
        <w:t xml:space="preserve">on </w:t>
      </w:r>
      <w:r w:rsidR="006F4364">
        <w:t>a plan to</w:t>
      </w:r>
      <w:r w:rsidR="0018246E">
        <w:t xml:space="preserve"> contain damage to firm</w:t>
      </w:r>
      <w:r w:rsidR="00787FE0">
        <w:t xml:space="preserve"> stock</w:t>
      </w:r>
      <w:r w:rsidR="00D7334E">
        <w:t xml:space="preserve">. </w:t>
      </w:r>
      <w:r w:rsidR="0018246E">
        <w:t xml:space="preserve">Were insider trading legal, she might be tempted to </w:t>
      </w:r>
      <w:r w:rsidR="007B5F20">
        <w:t xml:space="preserve">hedge </w:t>
      </w:r>
      <w:r w:rsidR="00787FE0">
        <w:t xml:space="preserve">the possibility the plan might fail </w:t>
      </w:r>
      <w:r w:rsidR="007B5F20">
        <w:t xml:space="preserve">by </w:t>
      </w:r>
      <w:r w:rsidR="0018246E">
        <w:t>dump</w:t>
      </w:r>
      <w:r w:rsidR="007B5F20">
        <w:t>ing</w:t>
      </w:r>
      <w:r w:rsidR="0018246E">
        <w:t xml:space="preserve"> her </w:t>
      </w:r>
      <w:r w:rsidR="005842AE">
        <w:t xml:space="preserve">stock </w:t>
      </w:r>
      <w:r w:rsidR="0018246E">
        <w:t>quietly before the market became aware of the problem</w:t>
      </w:r>
      <w:r w:rsidR="005842AE">
        <w:t>.</w:t>
      </w:r>
    </w:p>
    <w:p w:rsidR="006418AB" w:rsidRDefault="006418AB" w:rsidP="00443694">
      <w:pPr>
        <w:pStyle w:val="awTB01questionHead"/>
        <w:numPr>
          <w:ilvl w:val="0"/>
          <w:numId w:val="1"/>
        </w:numPr>
        <w:spacing w:before="480" w:after="240"/>
        <w:ind w:left="432" w:hanging="432"/>
      </w:pPr>
      <w:r>
        <w:lastRenderedPageBreak/>
        <w:t>Answers to Warm-Up Exercises</w:t>
      </w:r>
    </w:p>
    <w:p w:rsidR="006418AB" w:rsidRPr="00D65FAE" w:rsidRDefault="00CC6015" w:rsidP="00443694">
      <w:pPr>
        <w:pStyle w:val="MCQList1"/>
        <w:tabs>
          <w:tab w:val="clear" w:pos="274"/>
          <w:tab w:val="clear" w:pos="446"/>
        </w:tabs>
        <w:spacing w:before="0" w:after="120"/>
        <w:ind w:left="864" w:hanging="432"/>
        <w:rPr>
          <w:b/>
        </w:rPr>
      </w:pPr>
      <w:r>
        <w:t>E2-1</w:t>
      </w:r>
      <w:r>
        <w:tab/>
      </w:r>
      <w:r w:rsidR="006418AB">
        <w:tab/>
      </w:r>
      <w:r w:rsidR="006418AB" w:rsidRPr="00D65FAE">
        <w:rPr>
          <w:b/>
          <w:i/>
        </w:rPr>
        <w:t xml:space="preserve">Suppliers and </w:t>
      </w:r>
      <w:r w:rsidR="00D65FAE" w:rsidRPr="00D65FAE">
        <w:rPr>
          <w:b/>
          <w:i/>
        </w:rPr>
        <w:t>d</w:t>
      </w:r>
      <w:r w:rsidR="005842AE" w:rsidRPr="00D65FAE">
        <w:rPr>
          <w:b/>
          <w:i/>
        </w:rPr>
        <w:t xml:space="preserve">emanders of </w:t>
      </w:r>
      <w:r w:rsidR="00D65FAE" w:rsidRPr="00D65FAE">
        <w:rPr>
          <w:b/>
          <w:i/>
        </w:rPr>
        <w:t>f</w:t>
      </w:r>
      <w:r w:rsidR="006418AB" w:rsidRPr="00D65FAE">
        <w:rPr>
          <w:b/>
          <w:i/>
        </w:rPr>
        <w:t>unds</w:t>
      </w:r>
      <w:r w:rsidR="00D65FAE" w:rsidRPr="00D65FAE">
        <w:rPr>
          <w:b/>
          <w:i/>
        </w:rPr>
        <w:t xml:space="preserve"> </w:t>
      </w:r>
      <w:r w:rsidR="00D65FAE" w:rsidRPr="00D65FAE">
        <w:rPr>
          <w:b/>
        </w:rPr>
        <w:t>(LG 1)</w:t>
      </w:r>
    </w:p>
    <w:p w:rsidR="006418AB" w:rsidRDefault="006418AB" w:rsidP="004A2F6F">
      <w:pPr>
        <w:pStyle w:val="MCQAns2"/>
        <w:keepNext w:val="0"/>
        <w:spacing w:before="0" w:after="120"/>
        <w:ind w:left="1440"/>
        <w:rPr>
          <w:b w:val="0"/>
          <w:bCs w:val="0"/>
        </w:rPr>
      </w:pPr>
      <w:r>
        <w:t>Answer:</w:t>
      </w:r>
      <w:r>
        <w:tab/>
      </w:r>
      <w:r>
        <w:rPr>
          <w:b w:val="0"/>
          <w:bCs w:val="0"/>
        </w:rPr>
        <w:t xml:space="preserve">Individuals as a </w:t>
      </w:r>
      <w:r w:rsidRPr="005842AE">
        <w:rPr>
          <w:b w:val="0"/>
        </w:rPr>
        <w:t>whole</w:t>
      </w:r>
      <w:r>
        <w:rPr>
          <w:b w:val="0"/>
          <w:bCs w:val="0"/>
        </w:rPr>
        <w:t xml:space="preserve"> </w:t>
      </w:r>
      <w:r w:rsidR="004C5EF9">
        <w:rPr>
          <w:b w:val="0"/>
          <w:bCs w:val="0"/>
        </w:rPr>
        <w:t xml:space="preserve">(i.e., the household sector) </w:t>
      </w:r>
      <w:r>
        <w:rPr>
          <w:b w:val="0"/>
          <w:bCs w:val="0"/>
        </w:rPr>
        <w:t>spend less than they earn</w:t>
      </w:r>
      <w:r w:rsidR="00B475DE">
        <w:rPr>
          <w:b w:val="0"/>
          <w:bCs w:val="0"/>
        </w:rPr>
        <w:t xml:space="preserve"> and </w:t>
      </w:r>
      <w:r w:rsidR="00787FE0">
        <w:rPr>
          <w:b w:val="0"/>
          <w:bCs w:val="0"/>
        </w:rPr>
        <w:t xml:space="preserve">invest </w:t>
      </w:r>
      <w:r w:rsidR="004A2F6F">
        <w:rPr>
          <w:b w:val="0"/>
          <w:bCs w:val="0"/>
        </w:rPr>
        <w:t>the</w:t>
      </w:r>
      <w:r>
        <w:rPr>
          <w:b w:val="0"/>
          <w:bCs w:val="0"/>
        </w:rPr>
        <w:t xml:space="preserve"> </w:t>
      </w:r>
      <w:r w:rsidR="00565C41">
        <w:rPr>
          <w:b w:val="0"/>
          <w:bCs w:val="0"/>
        </w:rPr>
        <w:t xml:space="preserve">surplus </w:t>
      </w:r>
      <w:r w:rsidR="004C5EF9">
        <w:rPr>
          <w:b w:val="0"/>
          <w:bCs w:val="0"/>
        </w:rPr>
        <w:t>in firms directly (</w:t>
      </w:r>
      <w:r w:rsidR="00565C41">
        <w:rPr>
          <w:b w:val="0"/>
          <w:bCs w:val="0"/>
        </w:rPr>
        <w:t>by</w:t>
      </w:r>
      <w:r w:rsidR="004C5EF9">
        <w:rPr>
          <w:b w:val="0"/>
          <w:bCs w:val="0"/>
        </w:rPr>
        <w:t xml:space="preserve"> purchas</w:t>
      </w:r>
      <w:r w:rsidR="00565C41">
        <w:rPr>
          <w:b w:val="0"/>
          <w:bCs w:val="0"/>
        </w:rPr>
        <w:t>ing</w:t>
      </w:r>
      <w:r w:rsidR="004C5EF9">
        <w:rPr>
          <w:b w:val="0"/>
          <w:bCs w:val="0"/>
        </w:rPr>
        <w:t xml:space="preserve"> </w:t>
      </w:r>
      <w:r w:rsidR="00304EA5">
        <w:rPr>
          <w:b w:val="0"/>
          <w:bCs w:val="0"/>
        </w:rPr>
        <w:t xml:space="preserve">their </w:t>
      </w:r>
      <w:r w:rsidR="004C5EF9">
        <w:rPr>
          <w:b w:val="0"/>
          <w:bCs w:val="0"/>
        </w:rPr>
        <w:t xml:space="preserve">stocks and bonds) or indirectly (through financial institutions </w:t>
      </w:r>
      <w:r w:rsidR="00946907">
        <w:rPr>
          <w:b w:val="0"/>
          <w:bCs w:val="0"/>
        </w:rPr>
        <w:t>—</w:t>
      </w:r>
      <w:r w:rsidR="004C5EF9">
        <w:rPr>
          <w:b w:val="0"/>
          <w:bCs w:val="0"/>
        </w:rPr>
        <w:t xml:space="preserve">as in </w:t>
      </w:r>
      <w:r w:rsidR="00B475DE">
        <w:rPr>
          <w:b w:val="0"/>
          <w:bCs w:val="0"/>
        </w:rPr>
        <w:t xml:space="preserve">making </w:t>
      </w:r>
      <w:r w:rsidR="004C5EF9">
        <w:rPr>
          <w:b w:val="0"/>
          <w:bCs w:val="0"/>
        </w:rPr>
        <w:t>deposits</w:t>
      </w:r>
      <w:r w:rsidR="00787FE0">
        <w:rPr>
          <w:b w:val="0"/>
          <w:bCs w:val="0"/>
        </w:rPr>
        <w:t xml:space="preserve"> </w:t>
      </w:r>
      <w:r w:rsidR="00B475DE">
        <w:rPr>
          <w:b w:val="0"/>
          <w:bCs w:val="0"/>
        </w:rPr>
        <w:t>a</w:t>
      </w:r>
      <w:r w:rsidR="00787FE0">
        <w:rPr>
          <w:b w:val="0"/>
          <w:bCs w:val="0"/>
        </w:rPr>
        <w:t xml:space="preserve"> </w:t>
      </w:r>
      <w:r w:rsidR="004C5EF9">
        <w:rPr>
          <w:b w:val="0"/>
          <w:bCs w:val="0"/>
        </w:rPr>
        <w:t xml:space="preserve">commercial bank </w:t>
      </w:r>
      <w:r w:rsidR="00304EA5">
        <w:rPr>
          <w:b w:val="0"/>
          <w:bCs w:val="0"/>
        </w:rPr>
        <w:t>who</w:t>
      </w:r>
      <w:r w:rsidR="004C5EF9">
        <w:rPr>
          <w:b w:val="0"/>
          <w:bCs w:val="0"/>
        </w:rPr>
        <w:t xml:space="preserve"> </w:t>
      </w:r>
      <w:r w:rsidR="00B475DE">
        <w:rPr>
          <w:b w:val="0"/>
          <w:bCs w:val="0"/>
        </w:rPr>
        <w:t xml:space="preserve">then </w:t>
      </w:r>
      <w:r w:rsidR="004C5EF9">
        <w:rPr>
          <w:b w:val="0"/>
          <w:bCs w:val="0"/>
        </w:rPr>
        <w:t>lend</w:t>
      </w:r>
      <w:r w:rsidR="00304EA5">
        <w:rPr>
          <w:b w:val="0"/>
          <w:bCs w:val="0"/>
        </w:rPr>
        <w:t>s the funds</w:t>
      </w:r>
      <w:r w:rsidR="004C5EF9">
        <w:rPr>
          <w:b w:val="0"/>
          <w:bCs w:val="0"/>
        </w:rPr>
        <w:t xml:space="preserve"> to </w:t>
      </w:r>
      <w:r w:rsidR="00B475DE">
        <w:rPr>
          <w:b w:val="0"/>
          <w:bCs w:val="0"/>
        </w:rPr>
        <w:t>firms</w:t>
      </w:r>
      <w:r w:rsidR="004C5EF9">
        <w:rPr>
          <w:b w:val="0"/>
          <w:bCs w:val="0"/>
        </w:rPr>
        <w:t>)</w:t>
      </w:r>
      <w:r w:rsidR="00D7334E">
        <w:rPr>
          <w:b w:val="0"/>
          <w:bCs w:val="0"/>
        </w:rPr>
        <w:t xml:space="preserve">. </w:t>
      </w:r>
      <w:r>
        <w:rPr>
          <w:b w:val="0"/>
          <w:bCs w:val="0"/>
        </w:rPr>
        <w:t>If individuals consume more</w:t>
      </w:r>
      <w:r w:rsidR="00B318E3">
        <w:rPr>
          <w:b w:val="0"/>
          <w:bCs w:val="0"/>
        </w:rPr>
        <w:t>/save less</w:t>
      </w:r>
      <w:r>
        <w:rPr>
          <w:b w:val="0"/>
          <w:bCs w:val="0"/>
        </w:rPr>
        <w:t>, fewer dollars will be available for investment</w:t>
      </w:r>
      <w:r w:rsidR="00304EA5">
        <w:rPr>
          <w:b w:val="0"/>
          <w:bCs w:val="0"/>
        </w:rPr>
        <w:t>, thereby driving up</w:t>
      </w:r>
      <w:r w:rsidR="00A70EBE">
        <w:rPr>
          <w:b w:val="0"/>
          <w:bCs w:val="0"/>
        </w:rPr>
        <w:t xml:space="preserve"> the cost of those funds to </w:t>
      </w:r>
      <w:r w:rsidR="00D8749F">
        <w:rPr>
          <w:b w:val="0"/>
          <w:bCs w:val="0"/>
        </w:rPr>
        <w:t>net borrowers in the form of higher</w:t>
      </w:r>
      <w:r>
        <w:rPr>
          <w:b w:val="0"/>
          <w:bCs w:val="0"/>
        </w:rPr>
        <w:t xml:space="preserve"> required return</w:t>
      </w:r>
      <w:r w:rsidR="004A2F6F">
        <w:rPr>
          <w:b w:val="0"/>
          <w:bCs w:val="0"/>
        </w:rPr>
        <w:t>s</w:t>
      </w:r>
      <w:r w:rsidR="00304EA5">
        <w:rPr>
          <w:b w:val="0"/>
          <w:bCs w:val="0"/>
        </w:rPr>
        <w:t>/</w:t>
      </w:r>
      <w:r w:rsidR="00565C41">
        <w:rPr>
          <w:b w:val="0"/>
          <w:bCs w:val="0"/>
        </w:rPr>
        <w:t>interest rates</w:t>
      </w:r>
      <w:r w:rsidR="00D7334E">
        <w:rPr>
          <w:b w:val="0"/>
          <w:bCs w:val="0"/>
        </w:rPr>
        <w:t xml:space="preserve">. </w:t>
      </w:r>
      <w:r>
        <w:rPr>
          <w:b w:val="0"/>
          <w:bCs w:val="0"/>
        </w:rPr>
        <w:t xml:space="preserve">Over time, </w:t>
      </w:r>
      <w:r w:rsidR="00565C41">
        <w:rPr>
          <w:b w:val="0"/>
          <w:bCs w:val="0"/>
        </w:rPr>
        <w:t>the rise in returns/rate</w:t>
      </w:r>
      <w:r w:rsidR="00B318E3">
        <w:rPr>
          <w:b w:val="0"/>
          <w:bCs w:val="0"/>
        </w:rPr>
        <w:t>s</w:t>
      </w:r>
      <w:r w:rsidR="00565C41">
        <w:rPr>
          <w:b w:val="0"/>
          <w:bCs w:val="0"/>
        </w:rPr>
        <w:t xml:space="preserve"> </w:t>
      </w:r>
      <w:r w:rsidR="00B318E3">
        <w:rPr>
          <w:b w:val="0"/>
          <w:bCs w:val="0"/>
        </w:rPr>
        <w:t>will reduce</w:t>
      </w:r>
      <w:r w:rsidR="00565C41">
        <w:rPr>
          <w:b w:val="0"/>
          <w:bCs w:val="0"/>
        </w:rPr>
        <w:t xml:space="preserve"> investment </w:t>
      </w:r>
      <w:r w:rsidR="00B318E3">
        <w:rPr>
          <w:b w:val="0"/>
          <w:bCs w:val="0"/>
        </w:rPr>
        <w:t xml:space="preserve">and </w:t>
      </w:r>
      <w:r w:rsidR="00A03545">
        <w:rPr>
          <w:b w:val="0"/>
          <w:bCs w:val="0"/>
        </w:rPr>
        <w:t>economic growth</w:t>
      </w:r>
      <w:r w:rsidR="00946907">
        <w:rPr>
          <w:b w:val="0"/>
          <w:bCs w:val="0"/>
        </w:rPr>
        <w:t>,</w:t>
      </w:r>
      <w:r w:rsidR="00A03545">
        <w:rPr>
          <w:b w:val="0"/>
          <w:bCs w:val="0"/>
        </w:rPr>
        <w:t xml:space="preserve"> which means lower growth in income</w:t>
      </w:r>
      <w:r w:rsidR="00B475DE">
        <w:rPr>
          <w:b w:val="0"/>
          <w:bCs w:val="0"/>
        </w:rPr>
        <w:t>s</w:t>
      </w:r>
      <w:r w:rsidR="00A03545">
        <w:rPr>
          <w:b w:val="0"/>
          <w:bCs w:val="0"/>
        </w:rPr>
        <w:t xml:space="preserve"> and </w:t>
      </w:r>
      <w:r w:rsidR="00565C41">
        <w:rPr>
          <w:b w:val="0"/>
          <w:bCs w:val="0"/>
        </w:rPr>
        <w:t xml:space="preserve">employment. </w:t>
      </w:r>
    </w:p>
    <w:p w:rsidR="003B291C" w:rsidRPr="00D65FAE" w:rsidRDefault="006418AB" w:rsidP="00D65FAE">
      <w:pPr>
        <w:pStyle w:val="MCQList1"/>
        <w:keepNext w:val="0"/>
        <w:tabs>
          <w:tab w:val="clear" w:pos="274"/>
          <w:tab w:val="clear" w:pos="446"/>
        </w:tabs>
        <w:spacing w:before="240" w:after="120"/>
        <w:ind w:left="864" w:hanging="432"/>
        <w:rPr>
          <w:i/>
        </w:rPr>
      </w:pPr>
      <w:r>
        <w:t>E2-2</w:t>
      </w:r>
      <w:r>
        <w:tab/>
      </w:r>
      <w:r>
        <w:tab/>
      </w:r>
      <w:r w:rsidR="00D65FAE" w:rsidRPr="00D65FAE">
        <w:rPr>
          <w:b/>
          <w:i/>
        </w:rPr>
        <w:t>Raising f</w:t>
      </w:r>
      <w:r w:rsidRPr="00D65FAE">
        <w:rPr>
          <w:b/>
          <w:i/>
        </w:rPr>
        <w:t>unds</w:t>
      </w:r>
      <w:r w:rsidR="00D65FAE">
        <w:rPr>
          <w:i/>
        </w:rPr>
        <w:t xml:space="preserve"> </w:t>
      </w:r>
      <w:r w:rsidR="00D65FAE">
        <w:rPr>
          <w:b/>
        </w:rPr>
        <w:t>(</w:t>
      </w:r>
      <w:r w:rsidR="003F6EBA">
        <w:rPr>
          <w:b/>
        </w:rPr>
        <w:t>LG 2</w:t>
      </w:r>
      <w:r w:rsidR="00D65FAE">
        <w:rPr>
          <w:b/>
        </w:rPr>
        <w:t>)</w:t>
      </w:r>
    </w:p>
    <w:p w:rsidR="006418AB" w:rsidRDefault="006418AB" w:rsidP="003B291C">
      <w:pPr>
        <w:pStyle w:val="MCQAns2"/>
        <w:keepNext w:val="0"/>
        <w:spacing w:before="0" w:after="120"/>
        <w:ind w:left="1440"/>
        <w:rPr>
          <w:b w:val="0"/>
          <w:bCs w:val="0"/>
        </w:rPr>
      </w:pPr>
      <w:r>
        <w:rPr>
          <w:bCs w:val="0"/>
        </w:rPr>
        <w:t>Answer:</w:t>
      </w:r>
      <w:r>
        <w:tab/>
      </w:r>
      <w:r w:rsidR="00901F5E" w:rsidRPr="00901F5E">
        <w:rPr>
          <w:b w:val="0"/>
        </w:rPr>
        <w:t>Gaga can raise the needed $10 million by borrowing from a commercial bank or issuing stocks or bonds in the primary market</w:t>
      </w:r>
      <w:r w:rsidR="00D7334E">
        <w:rPr>
          <w:b w:val="0"/>
        </w:rPr>
        <w:t xml:space="preserve">. </w:t>
      </w:r>
      <w:r w:rsidR="00A03545">
        <w:rPr>
          <w:b w:val="0"/>
          <w:bCs w:val="0"/>
        </w:rPr>
        <w:t xml:space="preserve">To obtain </w:t>
      </w:r>
      <w:r w:rsidR="00FA374F">
        <w:rPr>
          <w:b w:val="0"/>
          <w:bCs w:val="0"/>
        </w:rPr>
        <w:t>$10 million</w:t>
      </w:r>
      <w:r w:rsidR="00A03545">
        <w:rPr>
          <w:b w:val="0"/>
          <w:bCs w:val="0"/>
        </w:rPr>
        <w:t xml:space="preserve"> from a commercial bank, Gaga will </w:t>
      </w:r>
      <w:r w:rsidR="00B96D42">
        <w:rPr>
          <w:b w:val="0"/>
          <w:bCs w:val="0"/>
        </w:rPr>
        <w:t xml:space="preserve">likely need </w:t>
      </w:r>
      <w:r w:rsidR="00A03545">
        <w:rPr>
          <w:b w:val="0"/>
          <w:bCs w:val="0"/>
        </w:rPr>
        <w:t>an ongoing deposit relationship with that bank</w:t>
      </w:r>
      <w:r w:rsidR="00D7334E">
        <w:rPr>
          <w:b w:val="0"/>
          <w:bCs w:val="0"/>
        </w:rPr>
        <w:t xml:space="preserve">. </w:t>
      </w:r>
      <w:r w:rsidR="003440D4">
        <w:rPr>
          <w:b w:val="0"/>
          <w:bCs w:val="0"/>
        </w:rPr>
        <w:t>Such a</w:t>
      </w:r>
      <w:r w:rsidR="00FA374F">
        <w:rPr>
          <w:b w:val="0"/>
          <w:bCs w:val="0"/>
        </w:rPr>
        <w:t xml:space="preserve"> </w:t>
      </w:r>
      <w:r w:rsidR="00A03545">
        <w:rPr>
          <w:b w:val="0"/>
          <w:bCs w:val="0"/>
        </w:rPr>
        <w:t>relationship give</w:t>
      </w:r>
      <w:r w:rsidR="00B4679E">
        <w:rPr>
          <w:b w:val="0"/>
          <w:bCs w:val="0"/>
        </w:rPr>
        <w:t>s</w:t>
      </w:r>
      <w:r w:rsidR="00A03545">
        <w:rPr>
          <w:b w:val="0"/>
          <w:bCs w:val="0"/>
        </w:rPr>
        <w:t xml:space="preserve"> the bank low-cost information about </w:t>
      </w:r>
      <w:proofErr w:type="spellStart"/>
      <w:r w:rsidR="00A03545">
        <w:rPr>
          <w:b w:val="0"/>
          <w:bCs w:val="0"/>
        </w:rPr>
        <w:t>Gaga’s</w:t>
      </w:r>
      <w:proofErr w:type="spellEnd"/>
      <w:r w:rsidR="00A03545">
        <w:rPr>
          <w:b w:val="0"/>
          <w:bCs w:val="0"/>
        </w:rPr>
        <w:t xml:space="preserve"> cash flows </w:t>
      </w:r>
      <w:r w:rsidR="00FA374F">
        <w:rPr>
          <w:b w:val="0"/>
          <w:bCs w:val="0"/>
        </w:rPr>
        <w:t>that reduce the cost of lending</w:t>
      </w:r>
      <w:r w:rsidR="00B318E3">
        <w:rPr>
          <w:b w:val="0"/>
          <w:bCs w:val="0"/>
        </w:rPr>
        <w:t xml:space="preserve"> to the firm</w:t>
      </w:r>
      <w:r w:rsidR="00D7334E">
        <w:rPr>
          <w:b w:val="0"/>
          <w:bCs w:val="0"/>
        </w:rPr>
        <w:t xml:space="preserve">. </w:t>
      </w:r>
      <w:r w:rsidR="00FA374F">
        <w:rPr>
          <w:b w:val="0"/>
          <w:bCs w:val="0"/>
        </w:rPr>
        <w:t xml:space="preserve">Over time, as Gaga </w:t>
      </w:r>
      <w:r w:rsidR="00B96D42">
        <w:rPr>
          <w:b w:val="0"/>
          <w:bCs w:val="0"/>
        </w:rPr>
        <w:t xml:space="preserve">repeatedly borrows </w:t>
      </w:r>
      <w:r w:rsidR="00FA374F">
        <w:rPr>
          <w:b w:val="0"/>
          <w:bCs w:val="0"/>
        </w:rPr>
        <w:t xml:space="preserve">and repays the loans, the bank will </w:t>
      </w:r>
      <w:r w:rsidR="00B318E3">
        <w:rPr>
          <w:b w:val="0"/>
          <w:bCs w:val="0"/>
        </w:rPr>
        <w:t>collect even more information, further reducing the cost of lending</w:t>
      </w:r>
      <w:r w:rsidR="00D7334E">
        <w:rPr>
          <w:b w:val="0"/>
          <w:bCs w:val="0"/>
        </w:rPr>
        <w:t xml:space="preserve">. </w:t>
      </w:r>
      <w:r w:rsidR="00FA374F">
        <w:rPr>
          <w:b w:val="0"/>
          <w:bCs w:val="0"/>
        </w:rPr>
        <w:t>Should Gaga wish to sell bonds or stock to raise the $10 million</w:t>
      </w:r>
      <w:r w:rsidR="00946907">
        <w:rPr>
          <w:b w:val="0"/>
          <w:bCs w:val="0"/>
        </w:rPr>
        <w:t>—</w:t>
      </w:r>
      <w:r w:rsidR="00901F5E">
        <w:rPr>
          <w:b w:val="0"/>
          <w:bCs w:val="0"/>
        </w:rPr>
        <w:t xml:space="preserve"> that is, tap the financial markets directly for the funding rather than a commercial bank</w:t>
      </w:r>
      <w:r w:rsidR="00FA374F">
        <w:rPr>
          <w:b w:val="0"/>
          <w:bCs w:val="0"/>
        </w:rPr>
        <w:t xml:space="preserve"> </w:t>
      </w:r>
      <w:r w:rsidR="00946907">
        <w:rPr>
          <w:b w:val="0"/>
          <w:bCs w:val="0"/>
        </w:rPr>
        <w:t xml:space="preserve">— </w:t>
      </w:r>
      <w:r w:rsidR="00FA374F">
        <w:rPr>
          <w:b w:val="0"/>
          <w:bCs w:val="0"/>
        </w:rPr>
        <w:t xml:space="preserve">its first step will be </w:t>
      </w:r>
      <w:r w:rsidR="00DF51FF">
        <w:rPr>
          <w:b w:val="0"/>
          <w:bCs w:val="0"/>
        </w:rPr>
        <w:t xml:space="preserve">to </w:t>
      </w:r>
      <w:r w:rsidR="00FA374F">
        <w:rPr>
          <w:b w:val="0"/>
          <w:bCs w:val="0"/>
        </w:rPr>
        <w:t xml:space="preserve">retain an investment bank </w:t>
      </w:r>
      <w:r w:rsidR="00DF51FF">
        <w:rPr>
          <w:b w:val="0"/>
          <w:bCs w:val="0"/>
        </w:rPr>
        <w:t xml:space="preserve">for </w:t>
      </w:r>
      <w:r w:rsidR="00B96D42">
        <w:rPr>
          <w:b w:val="0"/>
          <w:bCs w:val="0"/>
        </w:rPr>
        <w:t xml:space="preserve">needed </w:t>
      </w:r>
      <w:r>
        <w:rPr>
          <w:b w:val="0"/>
          <w:bCs w:val="0"/>
        </w:rPr>
        <w:t>expertise</w:t>
      </w:r>
      <w:r w:rsidR="00FA374F">
        <w:rPr>
          <w:b w:val="0"/>
          <w:bCs w:val="0"/>
        </w:rPr>
        <w:t xml:space="preserve">, </w:t>
      </w:r>
      <w:r w:rsidR="00B96D42">
        <w:rPr>
          <w:b w:val="0"/>
          <w:bCs w:val="0"/>
        </w:rPr>
        <w:t>such as a</w:t>
      </w:r>
      <w:r w:rsidR="00267E06">
        <w:rPr>
          <w:b w:val="0"/>
          <w:bCs w:val="0"/>
        </w:rPr>
        <w:t xml:space="preserve">dvice on what </w:t>
      </w:r>
      <w:r w:rsidR="00FA374F">
        <w:rPr>
          <w:b w:val="0"/>
          <w:bCs w:val="0"/>
        </w:rPr>
        <w:t xml:space="preserve">securities to sell and terms to </w:t>
      </w:r>
      <w:proofErr w:type="gramStart"/>
      <w:r w:rsidR="00FA374F">
        <w:rPr>
          <w:b w:val="0"/>
          <w:bCs w:val="0"/>
        </w:rPr>
        <w:t>offer</w:t>
      </w:r>
      <w:r w:rsidR="00D7334E">
        <w:rPr>
          <w:b w:val="0"/>
          <w:bCs w:val="0"/>
        </w:rPr>
        <w:t>.</w:t>
      </w:r>
      <w:proofErr w:type="gramEnd"/>
      <w:r w:rsidR="00D7334E">
        <w:rPr>
          <w:b w:val="0"/>
          <w:bCs w:val="0"/>
        </w:rPr>
        <w:t xml:space="preserve"> </w:t>
      </w:r>
      <w:r>
        <w:rPr>
          <w:b w:val="0"/>
          <w:bCs w:val="0"/>
        </w:rPr>
        <w:t>Investment bank</w:t>
      </w:r>
      <w:r w:rsidR="00B96D42">
        <w:rPr>
          <w:b w:val="0"/>
          <w:bCs w:val="0"/>
        </w:rPr>
        <w:t xml:space="preserve">s </w:t>
      </w:r>
      <w:r w:rsidR="00FF15A6">
        <w:rPr>
          <w:b w:val="0"/>
          <w:bCs w:val="0"/>
        </w:rPr>
        <w:t xml:space="preserve">offer </w:t>
      </w:r>
      <w:r w:rsidR="00B4679E">
        <w:rPr>
          <w:b w:val="0"/>
          <w:bCs w:val="0"/>
        </w:rPr>
        <w:t xml:space="preserve">valuable </w:t>
      </w:r>
      <w:r w:rsidR="00FA374F">
        <w:rPr>
          <w:b w:val="0"/>
          <w:bCs w:val="0"/>
        </w:rPr>
        <w:t xml:space="preserve">expertise </w:t>
      </w:r>
      <w:r w:rsidR="00FF15A6">
        <w:rPr>
          <w:b w:val="0"/>
          <w:bCs w:val="0"/>
        </w:rPr>
        <w:t>earned over time</w:t>
      </w:r>
      <w:r w:rsidR="00FF15A6" w:rsidRPr="00FF15A6">
        <w:rPr>
          <w:b w:val="0"/>
          <w:bCs w:val="0"/>
        </w:rPr>
        <w:t xml:space="preserve"> </w:t>
      </w:r>
      <w:r w:rsidR="00FF15A6">
        <w:rPr>
          <w:b w:val="0"/>
          <w:bCs w:val="0"/>
        </w:rPr>
        <w:t>through market-making/trading activities and</w:t>
      </w:r>
      <w:r w:rsidR="00B4679E">
        <w:rPr>
          <w:b w:val="0"/>
          <w:bCs w:val="0"/>
        </w:rPr>
        <w:t xml:space="preserve"> </w:t>
      </w:r>
      <w:r w:rsidR="00B96D42">
        <w:rPr>
          <w:b w:val="0"/>
          <w:bCs w:val="0"/>
        </w:rPr>
        <w:t xml:space="preserve">advising many firms on </w:t>
      </w:r>
      <w:r w:rsidR="00B4679E">
        <w:rPr>
          <w:b w:val="0"/>
          <w:bCs w:val="0"/>
        </w:rPr>
        <w:t>securities sales</w:t>
      </w:r>
      <w:r w:rsidR="00B96D42">
        <w:rPr>
          <w:b w:val="0"/>
          <w:bCs w:val="0"/>
        </w:rPr>
        <w:t xml:space="preserve"> </w:t>
      </w:r>
    </w:p>
    <w:p w:rsidR="003B291C" w:rsidRPr="003107AA" w:rsidRDefault="007B425B" w:rsidP="00D65FAE">
      <w:pPr>
        <w:pStyle w:val="MCQList1"/>
        <w:keepNext w:val="0"/>
        <w:tabs>
          <w:tab w:val="clear" w:pos="274"/>
          <w:tab w:val="clear" w:pos="446"/>
        </w:tabs>
        <w:spacing w:before="240" w:after="120"/>
        <w:ind w:left="864" w:hanging="432"/>
        <w:rPr>
          <w:b/>
        </w:rPr>
      </w:pPr>
      <w:r>
        <w:t>E2-3</w:t>
      </w:r>
      <w:r>
        <w:tab/>
      </w:r>
      <w:r>
        <w:tab/>
      </w:r>
      <w:r w:rsidR="006418AB" w:rsidRPr="00D65FAE">
        <w:rPr>
          <w:b/>
          <w:i/>
        </w:rPr>
        <w:t xml:space="preserve">Money </w:t>
      </w:r>
      <w:r w:rsidR="00D65FAE">
        <w:rPr>
          <w:b/>
          <w:i/>
        </w:rPr>
        <w:t>m</w:t>
      </w:r>
      <w:r w:rsidR="006418AB" w:rsidRPr="00D65FAE">
        <w:rPr>
          <w:b/>
          <w:i/>
        </w:rPr>
        <w:t xml:space="preserve">arket vs. </w:t>
      </w:r>
      <w:r w:rsidR="00D65FAE">
        <w:rPr>
          <w:b/>
          <w:i/>
        </w:rPr>
        <w:t>capital m</w:t>
      </w:r>
      <w:r w:rsidR="006418AB" w:rsidRPr="00D65FAE">
        <w:rPr>
          <w:b/>
          <w:i/>
        </w:rPr>
        <w:t>arket</w:t>
      </w:r>
      <w:r w:rsidR="00D65FAE" w:rsidRPr="00D65FAE">
        <w:rPr>
          <w:b/>
          <w:i/>
        </w:rPr>
        <w:t xml:space="preserve"> </w:t>
      </w:r>
      <w:r w:rsidR="00D65FAE" w:rsidRPr="00D65FAE">
        <w:rPr>
          <w:b/>
        </w:rPr>
        <w:t>(</w:t>
      </w:r>
      <w:r w:rsidR="003B291C" w:rsidRPr="003107AA">
        <w:rPr>
          <w:b/>
        </w:rPr>
        <w:t>LG</w:t>
      </w:r>
      <w:r w:rsidR="003F6EBA">
        <w:rPr>
          <w:b/>
        </w:rPr>
        <w:t xml:space="preserve"> </w:t>
      </w:r>
      <w:r w:rsidR="00A04E62" w:rsidRPr="003107AA">
        <w:rPr>
          <w:b/>
        </w:rPr>
        <w:t>3</w:t>
      </w:r>
      <w:r w:rsidR="00D65FAE">
        <w:rPr>
          <w:b/>
        </w:rPr>
        <w:t>)</w:t>
      </w:r>
      <w:r w:rsidR="00A04E62" w:rsidRPr="003107AA">
        <w:rPr>
          <w:b/>
        </w:rPr>
        <w:t xml:space="preserve"> </w:t>
      </w:r>
    </w:p>
    <w:p w:rsidR="006418AB" w:rsidRDefault="006418AB" w:rsidP="007B425B">
      <w:pPr>
        <w:pStyle w:val="MCQAns2"/>
        <w:keepNext w:val="0"/>
        <w:spacing w:before="0" w:after="120"/>
        <w:ind w:left="1440"/>
        <w:rPr>
          <w:b w:val="0"/>
          <w:bCs w:val="0"/>
        </w:rPr>
      </w:pPr>
      <w:r>
        <w:rPr>
          <w:bCs w:val="0"/>
        </w:rPr>
        <w:t>Answer:</w:t>
      </w:r>
      <w:r>
        <w:tab/>
      </w:r>
      <w:r w:rsidR="00267E06">
        <w:rPr>
          <w:b w:val="0"/>
          <w:bCs w:val="0"/>
        </w:rPr>
        <w:t>S</w:t>
      </w:r>
      <w:r>
        <w:rPr>
          <w:b w:val="0"/>
          <w:bCs w:val="0"/>
        </w:rPr>
        <w:t>hort-term</w:t>
      </w:r>
      <w:r w:rsidR="00CC6015">
        <w:rPr>
          <w:b w:val="0"/>
          <w:bCs w:val="0"/>
        </w:rPr>
        <w:t>,</w:t>
      </w:r>
      <w:r>
        <w:rPr>
          <w:b w:val="0"/>
          <w:bCs w:val="0"/>
        </w:rPr>
        <w:t xml:space="preserve"> </w:t>
      </w:r>
      <w:r w:rsidR="00CC6015">
        <w:rPr>
          <w:b w:val="0"/>
          <w:bCs w:val="0"/>
        </w:rPr>
        <w:t>highly liquid, low-risk debt</w:t>
      </w:r>
      <w:r w:rsidR="00267E06">
        <w:rPr>
          <w:b w:val="0"/>
          <w:bCs w:val="0"/>
        </w:rPr>
        <w:t xml:space="preserve"> trades in the money market</w:t>
      </w:r>
      <w:r w:rsidR="00D7334E">
        <w:rPr>
          <w:b w:val="0"/>
          <w:bCs w:val="0"/>
        </w:rPr>
        <w:t xml:space="preserve">. </w:t>
      </w:r>
      <w:r w:rsidR="00267E06">
        <w:rPr>
          <w:b w:val="0"/>
          <w:bCs w:val="0"/>
        </w:rPr>
        <w:t>Reputable f</w:t>
      </w:r>
      <w:r w:rsidR="00CC6015">
        <w:rPr>
          <w:b w:val="0"/>
          <w:bCs w:val="0"/>
        </w:rPr>
        <w:t xml:space="preserve">irms needing cash for one year or less to fund ongoing operations </w:t>
      </w:r>
      <w:r w:rsidR="00267E06">
        <w:rPr>
          <w:b w:val="0"/>
          <w:bCs w:val="0"/>
        </w:rPr>
        <w:t>have traditionally</w:t>
      </w:r>
      <w:r w:rsidR="00CC6015">
        <w:rPr>
          <w:b w:val="0"/>
          <w:bCs w:val="0"/>
        </w:rPr>
        <w:t xml:space="preserve"> tap</w:t>
      </w:r>
      <w:r w:rsidR="00267E06">
        <w:rPr>
          <w:b w:val="0"/>
          <w:bCs w:val="0"/>
        </w:rPr>
        <w:t>ped</w:t>
      </w:r>
      <w:r w:rsidR="00CC6015">
        <w:rPr>
          <w:b w:val="0"/>
          <w:bCs w:val="0"/>
        </w:rPr>
        <w:t xml:space="preserve"> the money market</w:t>
      </w:r>
      <w:r w:rsidR="00D7334E">
        <w:rPr>
          <w:b w:val="0"/>
          <w:bCs w:val="0"/>
        </w:rPr>
        <w:t xml:space="preserve">. </w:t>
      </w:r>
      <w:r w:rsidR="00DF51FF">
        <w:rPr>
          <w:b w:val="0"/>
          <w:bCs w:val="0"/>
        </w:rPr>
        <w:t>Suppose a well-known, financially sound firm</w:t>
      </w:r>
      <w:r w:rsidR="007B425B">
        <w:rPr>
          <w:b w:val="0"/>
          <w:bCs w:val="0"/>
        </w:rPr>
        <w:t xml:space="preserve"> specializing in </w:t>
      </w:r>
      <w:r w:rsidR="00DF51FF">
        <w:rPr>
          <w:b w:val="0"/>
          <w:bCs w:val="0"/>
        </w:rPr>
        <w:t xml:space="preserve">recreational-vehicle </w:t>
      </w:r>
      <w:r w:rsidR="00B4679E">
        <w:rPr>
          <w:b w:val="0"/>
          <w:bCs w:val="0"/>
        </w:rPr>
        <w:t xml:space="preserve">(RV) </w:t>
      </w:r>
      <w:r w:rsidR="00DF51FF">
        <w:rPr>
          <w:b w:val="0"/>
          <w:bCs w:val="0"/>
        </w:rPr>
        <w:t>sales needs</w:t>
      </w:r>
      <w:r w:rsidR="007B425B">
        <w:rPr>
          <w:b w:val="0"/>
          <w:bCs w:val="0"/>
        </w:rPr>
        <w:t xml:space="preserve"> inventory for the summer driving/camping season</w:t>
      </w:r>
      <w:r w:rsidR="00D7334E">
        <w:rPr>
          <w:b w:val="0"/>
          <w:bCs w:val="0"/>
        </w:rPr>
        <w:t xml:space="preserve">. </w:t>
      </w:r>
      <w:r w:rsidR="007B425B">
        <w:rPr>
          <w:b w:val="0"/>
          <w:bCs w:val="0"/>
        </w:rPr>
        <w:t xml:space="preserve">The company might sell 90-day commercial paper </w:t>
      </w:r>
      <w:r w:rsidR="00DF51FF">
        <w:rPr>
          <w:b w:val="0"/>
          <w:bCs w:val="0"/>
        </w:rPr>
        <w:t xml:space="preserve">for money </w:t>
      </w:r>
      <w:r w:rsidR="002E1131">
        <w:rPr>
          <w:b w:val="0"/>
          <w:bCs w:val="0"/>
        </w:rPr>
        <w:t xml:space="preserve">to buy </w:t>
      </w:r>
      <w:r w:rsidR="00B4679E">
        <w:rPr>
          <w:b w:val="0"/>
          <w:bCs w:val="0"/>
        </w:rPr>
        <w:t>RVs</w:t>
      </w:r>
      <w:r w:rsidR="002E1131">
        <w:rPr>
          <w:b w:val="0"/>
          <w:bCs w:val="0"/>
        </w:rPr>
        <w:t xml:space="preserve"> </w:t>
      </w:r>
      <w:r w:rsidR="00A607E4">
        <w:rPr>
          <w:b w:val="0"/>
          <w:bCs w:val="0"/>
        </w:rPr>
        <w:t xml:space="preserve">wholesale </w:t>
      </w:r>
      <w:r w:rsidR="007B425B">
        <w:rPr>
          <w:b w:val="0"/>
          <w:bCs w:val="0"/>
        </w:rPr>
        <w:t>and then pay off the debt with proceeds from summer sales</w:t>
      </w:r>
      <w:r w:rsidR="00D7334E">
        <w:rPr>
          <w:b w:val="0"/>
          <w:bCs w:val="0"/>
        </w:rPr>
        <w:t xml:space="preserve">. </w:t>
      </w:r>
      <w:r w:rsidR="007B425B">
        <w:rPr>
          <w:b w:val="0"/>
          <w:bCs w:val="0"/>
        </w:rPr>
        <w:t xml:space="preserve">Firms </w:t>
      </w:r>
      <w:r w:rsidR="0028794F">
        <w:rPr>
          <w:b w:val="0"/>
          <w:bCs w:val="0"/>
        </w:rPr>
        <w:t xml:space="preserve">sell new bonds and stock in </w:t>
      </w:r>
      <w:r w:rsidR="00DF51FF">
        <w:rPr>
          <w:b w:val="0"/>
          <w:bCs w:val="0"/>
        </w:rPr>
        <w:t>the capital market</w:t>
      </w:r>
      <w:r w:rsidR="0028794F">
        <w:rPr>
          <w:b w:val="0"/>
          <w:bCs w:val="0"/>
        </w:rPr>
        <w:t xml:space="preserve"> (w</w:t>
      </w:r>
      <w:r w:rsidR="00B4679E">
        <w:rPr>
          <w:b w:val="0"/>
          <w:bCs w:val="0"/>
        </w:rPr>
        <w:t>here debt and equity with maturit</w:t>
      </w:r>
      <w:r w:rsidR="0028794F">
        <w:rPr>
          <w:b w:val="0"/>
          <w:bCs w:val="0"/>
        </w:rPr>
        <w:t>ies</w:t>
      </w:r>
      <w:r w:rsidR="00B4679E">
        <w:rPr>
          <w:b w:val="0"/>
          <w:bCs w:val="0"/>
        </w:rPr>
        <w:t xml:space="preserve"> exceeding one year trade</w:t>
      </w:r>
      <w:r w:rsidR="0028794F">
        <w:rPr>
          <w:b w:val="0"/>
          <w:bCs w:val="0"/>
        </w:rPr>
        <w:t xml:space="preserve">) </w:t>
      </w:r>
      <w:r w:rsidR="007B425B">
        <w:rPr>
          <w:b w:val="0"/>
          <w:bCs w:val="0"/>
        </w:rPr>
        <w:t xml:space="preserve">to </w:t>
      </w:r>
      <w:r w:rsidR="002E1131">
        <w:rPr>
          <w:b w:val="0"/>
          <w:bCs w:val="0"/>
        </w:rPr>
        <w:t>fund</w:t>
      </w:r>
      <w:r w:rsidR="007B425B">
        <w:rPr>
          <w:b w:val="0"/>
          <w:bCs w:val="0"/>
        </w:rPr>
        <w:t xml:space="preserve"> long-term projects like construction of new factories. </w:t>
      </w:r>
    </w:p>
    <w:p w:rsidR="00A04E62" w:rsidRPr="003107AA" w:rsidRDefault="00015199" w:rsidP="00D65FAE">
      <w:pPr>
        <w:pStyle w:val="MCQList1"/>
        <w:keepNext w:val="0"/>
        <w:tabs>
          <w:tab w:val="clear" w:pos="274"/>
          <w:tab w:val="clear" w:pos="446"/>
        </w:tabs>
        <w:spacing w:before="240" w:after="120"/>
        <w:ind w:left="864" w:hanging="432"/>
        <w:rPr>
          <w:b/>
        </w:rPr>
      </w:pPr>
      <w:r>
        <w:rPr>
          <w:szCs w:val="22"/>
        </w:rPr>
        <w:t>E2-4</w:t>
      </w:r>
      <w:r>
        <w:rPr>
          <w:szCs w:val="22"/>
        </w:rPr>
        <w:tab/>
      </w:r>
      <w:r>
        <w:rPr>
          <w:szCs w:val="22"/>
        </w:rPr>
        <w:tab/>
      </w:r>
      <w:r w:rsidRPr="00D65FAE">
        <w:rPr>
          <w:b/>
          <w:i/>
          <w:szCs w:val="22"/>
        </w:rPr>
        <w:t>Biggest</w:t>
      </w:r>
      <w:r w:rsidRPr="00D65FAE">
        <w:rPr>
          <w:b/>
          <w:szCs w:val="22"/>
        </w:rPr>
        <w:t xml:space="preserve"> </w:t>
      </w:r>
      <w:r w:rsidR="00D65FAE">
        <w:rPr>
          <w:b/>
          <w:i/>
          <w:szCs w:val="22"/>
        </w:rPr>
        <w:t>b</w:t>
      </w:r>
      <w:r w:rsidRPr="00D65FAE">
        <w:rPr>
          <w:b/>
          <w:i/>
          <w:szCs w:val="22"/>
        </w:rPr>
        <w:t xml:space="preserve">enefit of </w:t>
      </w:r>
      <w:r w:rsidR="00D65FAE">
        <w:rPr>
          <w:b/>
          <w:i/>
          <w:szCs w:val="22"/>
        </w:rPr>
        <w:t>g</w:t>
      </w:r>
      <w:r w:rsidRPr="00D65FAE">
        <w:rPr>
          <w:b/>
          <w:i/>
          <w:szCs w:val="22"/>
        </w:rPr>
        <w:t xml:space="preserve">overnment </w:t>
      </w:r>
      <w:r w:rsidR="00D65FAE">
        <w:rPr>
          <w:b/>
          <w:i/>
          <w:szCs w:val="22"/>
        </w:rPr>
        <w:t>r</w:t>
      </w:r>
      <w:r w:rsidRPr="00D65FAE">
        <w:rPr>
          <w:b/>
          <w:i/>
          <w:szCs w:val="22"/>
        </w:rPr>
        <w:t>egulation</w:t>
      </w:r>
      <w:r w:rsidR="00D65FAE" w:rsidRPr="00D65FAE">
        <w:rPr>
          <w:b/>
          <w:i/>
          <w:szCs w:val="22"/>
        </w:rPr>
        <w:t xml:space="preserve"> </w:t>
      </w:r>
      <w:r w:rsidR="00D65FAE">
        <w:rPr>
          <w:b/>
        </w:rPr>
        <w:t>(</w:t>
      </w:r>
      <w:r w:rsidR="00A04E62" w:rsidRPr="003107AA">
        <w:rPr>
          <w:b/>
        </w:rPr>
        <w:t>LG</w:t>
      </w:r>
      <w:r w:rsidR="003F6EBA">
        <w:rPr>
          <w:b/>
        </w:rPr>
        <w:t xml:space="preserve"> </w:t>
      </w:r>
      <w:r w:rsidR="00A04E62" w:rsidRPr="003107AA">
        <w:rPr>
          <w:b/>
        </w:rPr>
        <w:t>4</w:t>
      </w:r>
      <w:r w:rsidR="00D65FAE">
        <w:rPr>
          <w:b/>
        </w:rPr>
        <w:t>)</w:t>
      </w:r>
    </w:p>
    <w:p w:rsidR="006418AB" w:rsidRDefault="006418AB" w:rsidP="00015199">
      <w:pPr>
        <w:pStyle w:val="MCQAns2"/>
        <w:keepNext w:val="0"/>
        <w:spacing w:before="0" w:after="120"/>
        <w:ind w:left="1440"/>
        <w:rPr>
          <w:b w:val="0"/>
          <w:bCs w:val="0"/>
        </w:rPr>
      </w:pPr>
      <w:r w:rsidRPr="00015199">
        <w:t>Answer:</w:t>
      </w:r>
      <w:r w:rsidRPr="007D5DAC">
        <w:rPr>
          <w:b w:val="0"/>
        </w:rPr>
        <w:tab/>
      </w:r>
      <w:r w:rsidR="00DF51FF">
        <w:rPr>
          <w:b w:val="0"/>
        </w:rPr>
        <w:t>T</w:t>
      </w:r>
      <w:r w:rsidRPr="00015199">
        <w:rPr>
          <w:b w:val="0"/>
        </w:rPr>
        <w:t xml:space="preserve">he </w:t>
      </w:r>
      <w:r w:rsidR="00015199">
        <w:rPr>
          <w:b w:val="0"/>
        </w:rPr>
        <w:t xml:space="preserve">scale and scope </w:t>
      </w:r>
      <w:r w:rsidRPr="00015199">
        <w:rPr>
          <w:b w:val="0"/>
        </w:rPr>
        <w:t xml:space="preserve">of government </w:t>
      </w:r>
      <w:r w:rsidR="00793F8A">
        <w:rPr>
          <w:b w:val="0"/>
        </w:rPr>
        <w:t>involvement in the economy</w:t>
      </w:r>
      <w:r w:rsidRPr="00015199">
        <w:rPr>
          <w:b w:val="0"/>
        </w:rPr>
        <w:t xml:space="preserve"> will always be </w:t>
      </w:r>
      <w:r w:rsidR="00015199">
        <w:rPr>
          <w:b w:val="0"/>
        </w:rPr>
        <w:t xml:space="preserve">subject </w:t>
      </w:r>
      <w:r w:rsidR="00ED5324">
        <w:rPr>
          <w:b w:val="0"/>
        </w:rPr>
        <w:t>to</w:t>
      </w:r>
      <w:r w:rsidR="00015199">
        <w:rPr>
          <w:b w:val="0"/>
        </w:rPr>
        <w:t xml:space="preserve"> </w:t>
      </w:r>
      <w:r w:rsidRPr="00015199">
        <w:rPr>
          <w:b w:val="0"/>
        </w:rPr>
        <w:t>debat</w:t>
      </w:r>
      <w:r w:rsidR="00015199">
        <w:rPr>
          <w:b w:val="0"/>
        </w:rPr>
        <w:t>e</w:t>
      </w:r>
      <w:r w:rsidRPr="00015199">
        <w:rPr>
          <w:b w:val="0"/>
        </w:rPr>
        <w:t xml:space="preserve">, </w:t>
      </w:r>
      <w:r w:rsidR="00DF51FF">
        <w:rPr>
          <w:b w:val="0"/>
        </w:rPr>
        <w:t xml:space="preserve">but </w:t>
      </w:r>
      <w:r w:rsidR="00015199">
        <w:rPr>
          <w:b w:val="0"/>
        </w:rPr>
        <w:t xml:space="preserve">most economists agree on the need for some </w:t>
      </w:r>
      <w:r w:rsidR="00DF51FF">
        <w:rPr>
          <w:b w:val="0"/>
        </w:rPr>
        <w:t xml:space="preserve">financial-sector </w:t>
      </w:r>
      <w:r w:rsidR="00015199">
        <w:rPr>
          <w:b w:val="0"/>
        </w:rPr>
        <w:t>regulation</w:t>
      </w:r>
      <w:r w:rsidR="00D7334E">
        <w:rPr>
          <w:b w:val="0"/>
        </w:rPr>
        <w:t xml:space="preserve">. </w:t>
      </w:r>
      <w:r w:rsidR="00DF51FF">
        <w:rPr>
          <w:b w:val="0"/>
        </w:rPr>
        <w:t>W</w:t>
      </w:r>
      <w:r w:rsidR="002E1131">
        <w:rPr>
          <w:b w:val="0"/>
        </w:rPr>
        <w:t xml:space="preserve">ell-designed </w:t>
      </w:r>
      <w:r w:rsidRPr="00015199">
        <w:rPr>
          <w:b w:val="0"/>
          <w:bCs w:val="0"/>
        </w:rPr>
        <w:t xml:space="preserve">regulation </w:t>
      </w:r>
      <w:r w:rsidR="00793F8A">
        <w:rPr>
          <w:b w:val="0"/>
          <w:bCs w:val="0"/>
        </w:rPr>
        <w:t>promote</w:t>
      </w:r>
      <w:r w:rsidR="00CE01E8">
        <w:rPr>
          <w:b w:val="0"/>
          <w:bCs w:val="0"/>
        </w:rPr>
        <w:t>s</w:t>
      </w:r>
      <w:r w:rsidR="00793F8A">
        <w:rPr>
          <w:b w:val="0"/>
          <w:bCs w:val="0"/>
        </w:rPr>
        <w:t xml:space="preserve"> </w:t>
      </w:r>
      <w:r w:rsidRPr="00015199">
        <w:rPr>
          <w:b w:val="0"/>
          <w:bCs w:val="0"/>
        </w:rPr>
        <w:t xml:space="preserve">confidence in the financial </w:t>
      </w:r>
      <w:r w:rsidR="00793F8A">
        <w:rPr>
          <w:b w:val="0"/>
          <w:bCs w:val="0"/>
        </w:rPr>
        <w:t>system</w:t>
      </w:r>
      <w:r w:rsidR="00CE01E8">
        <w:rPr>
          <w:b w:val="0"/>
          <w:bCs w:val="0"/>
        </w:rPr>
        <w:t xml:space="preserve">, and </w:t>
      </w:r>
      <w:r w:rsidR="002E1131">
        <w:rPr>
          <w:b w:val="0"/>
          <w:bCs w:val="0"/>
        </w:rPr>
        <w:t>i</w:t>
      </w:r>
      <w:r w:rsidR="00793F8A">
        <w:rPr>
          <w:b w:val="0"/>
          <w:bCs w:val="0"/>
        </w:rPr>
        <w:t xml:space="preserve">ndividuals and businesses </w:t>
      </w:r>
      <w:proofErr w:type="gramStart"/>
      <w:r w:rsidR="0028794F">
        <w:rPr>
          <w:b w:val="0"/>
          <w:bCs w:val="0"/>
        </w:rPr>
        <w:t>who</w:t>
      </w:r>
      <w:proofErr w:type="gramEnd"/>
      <w:r w:rsidR="0028794F">
        <w:rPr>
          <w:b w:val="0"/>
          <w:bCs w:val="0"/>
        </w:rPr>
        <w:t xml:space="preserve"> trust</w:t>
      </w:r>
      <w:r w:rsidR="002E1131">
        <w:rPr>
          <w:b w:val="0"/>
          <w:bCs w:val="0"/>
        </w:rPr>
        <w:t xml:space="preserve"> </w:t>
      </w:r>
      <w:r w:rsidR="002001CE">
        <w:rPr>
          <w:b w:val="0"/>
          <w:bCs w:val="0"/>
        </w:rPr>
        <w:t>financial</w:t>
      </w:r>
      <w:r w:rsidR="00793F8A">
        <w:rPr>
          <w:b w:val="0"/>
          <w:bCs w:val="0"/>
        </w:rPr>
        <w:t xml:space="preserve"> </w:t>
      </w:r>
      <w:r w:rsidRPr="00015199">
        <w:rPr>
          <w:b w:val="0"/>
          <w:bCs w:val="0"/>
        </w:rPr>
        <w:t xml:space="preserve">institutions and markets </w:t>
      </w:r>
      <w:r w:rsidR="002E1131">
        <w:rPr>
          <w:b w:val="0"/>
          <w:bCs w:val="0"/>
        </w:rPr>
        <w:t>are more likely to save and invest</w:t>
      </w:r>
      <w:r w:rsidR="00D7334E">
        <w:rPr>
          <w:b w:val="0"/>
          <w:bCs w:val="0"/>
        </w:rPr>
        <w:t xml:space="preserve">. </w:t>
      </w:r>
      <w:r w:rsidR="002001CE">
        <w:rPr>
          <w:b w:val="0"/>
          <w:bCs w:val="0"/>
        </w:rPr>
        <w:t xml:space="preserve">More savings and investment, in turn, </w:t>
      </w:r>
      <w:r w:rsidR="00ED5324">
        <w:rPr>
          <w:b w:val="0"/>
          <w:bCs w:val="0"/>
        </w:rPr>
        <w:t>confer</w:t>
      </w:r>
      <w:r w:rsidR="00D54570">
        <w:rPr>
          <w:b w:val="0"/>
          <w:bCs w:val="0"/>
        </w:rPr>
        <w:t>s</w:t>
      </w:r>
      <w:r w:rsidR="00ED5324">
        <w:rPr>
          <w:b w:val="0"/>
          <w:bCs w:val="0"/>
        </w:rPr>
        <w:t xml:space="preserve"> </w:t>
      </w:r>
      <w:r w:rsidR="0028794F">
        <w:rPr>
          <w:b w:val="0"/>
          <w:bCs w:val="0"/>
        </w:rPr>
        <w:t xml:space="preserve">economy-wide </w:t>
      </w:r>
      <w:r w:rsidR="00ED5324">
        <w:rPr>
          <w:b w:val="0"/>
          <w:bCs w:val="0"/>
        </w:rPr>
        <w:t xml:space="preserve">benefits through the resulting </w:t>
      </w:r>
      <w:r w:rsidR="002001CE">
        <w:rPr>
          <w:b w:val="0"/>
          <w:bCs w:val="0"/>
        </w:rPr>
        <w:t>growth in output, income</w:t>
      </w:r>
      <w:r w:rsidR="00CE01E8">
        <w:rPr>
          <w:b w:val="0"/>
          <w:bCs w:val="0"/>
        </w:rPr>
        <w:t>s</w:t>
      </w:r>
      <w:r w:rsidR="00946907">
        <w:rPr>
          <w:b w:val="0"/>
          <w:bCs w:val="0"/>
        </w:rPr>
        <w:t>,</w:t>
      </w:r>
      <w:r w:rsidR="002001CE">
        <w:rPr>
          <w:b w:val="0"/>
          <w:bCs w:val="0"/>
        </w:rPr>
        <w:t xml:space="preserve"> and employment. </w:t>
      </w:r>
    </w:p>
    <w:p w:rsidR="003F6EBA" w:rsidRPr="003107AA" w:rsidRDefault="003F6EBA" w:rsidP="00D65FAE">
      <w:pPr>
        <w:pStyle w:val="MCQList1"/>
        <w:keepNext w:val="0"/>
        <w:tabs>
          <w:tab w:val="clear" w:pos="274"/>
          <w:tab w:val="clear" w:pos="446"/>
        </w:tabs>
        <w:spacing w:before="240" w:after="120"/>
        <w:ind w:left="864" w:hanging="432"/>
        <w:rPr>
          <w:b/>
        </w:rPr>
      </w:pPr>
      <w:r>
        <w:t>E2-5</w:t>
      </w:r>
      <w:r>
        <w:tab/>
      </w:r>
      <w:r>
        <w:rPr>
          <w:b/>
        </w:rPr>
        <w:tab/>
      </w:r>
      <w:r w:rsidRPr="00D65FAE">
        <w:rPr>
          <w:b/>
          <w:i/>
        </w:rPr>
        <w:t xml:space="preserve">Determining </w:t>
      </w:r>
      <w:r w:rsidR="00D65FAE">
        <w:rPr>
          <w:b/>
          <w:i/>
        </w:rPr>
        <w:t>n</w:t>
      </w:r>
      <w:r w:rsidRPr="00D65FAE">
        <w:rPr>
          <w:b/>
          <w:i/>
        </w:rPr>
        <w:t xml:space="preserve">et </w:t>
      </w:r>
      <w:r w:rsidR="00D65FAE">
        <w:rPr>
          <w:b/>
          <w:i/>
        </w:rPr>
        <w:t>p</w:t>
      </w:r>
      <w:r w:rsidRPr="00D65FAE">
        <w:rPr>
          <w:b/>
          <w:i/>
        </w:rPr>
        <w:t xml:space="preserve">roceeds from </w:t>
      </w:r>
      <w:r w:rsidR="00D65FAE">
        <w:rPr>
          <w:b/>
          <w:i/>
        </w:rPr>
        <w:t>stock s</w:t>
      </w:r>
      <w:r w:rsidRPr="00D65FAE">
        <w:rPr>
          <w:b/>
          <w:i/>
        </w:rPr>
        <w:t xml:space="preserve">ale </w:t>
      </w:r>
      <w:r w:rsidR="00D65FAE">
        <w:rPr>
          <w:b/>
        </w:rPr>
        <w:t>(</w:t>
      </w:r>
      <w:r w:rsidRPr="003107AA">
        <w:rPr>
          <w:b/>
        </w:rPr>
        <w:t>LG</w:t>
      </w:r>
      <w:r>
        <w:rPr>
          <w:b/>
        </w:rPr>
        <w:t xml:space="preserve"> 5</w:t>
      </w:r>
      <w:r w:rsidR="00D65FAE">
        <w:rPr>
          <w:b/>
        </w:rPr>
        <w:t>)</w:t>
      </w:r>
    </w:p>
    <w:p w:rsidR="0079456D" w:rsidRDefault="0079456D" w:rsidP="008B0F09">
      <w:pPr>
        <w:pStyle w:val="MCQAns2"/>
        <w:keepNext w:val="0"/>
        <w:spacing w:before="0" w:after="60"/>
        <w:ind w:left="1440"/>
        <w:rPr>
          <w:b w:val="0"/>
          <w:bCs w:val="0"/>
        </w:rPr>
      </w:pPr>
      <w:r w:rsidRPr="00015199">
        <w:t>Answer:</w:t>
      </w:r>
      <w:r w:rsidRPr="007D5DAC">
        <w:rPr>
          <w:b w:val="0"/>
        </w:rPr>
        <w:tab/>
      </w:r>
      <w:r w:rsidR="003F6EBA">
        <w:rPr>
          <w:b w:val="0"/>
          <w:bCs w:val="0"/>
        </w:rPr>
        <w:t xml:space="preserve">Net proceeds = (1,000,000 </w:t>
      </w:r>
      <w:r w:rsidR="00033C5B" w:rsidRPr="00D52ACD">
        <w:rPr>
          <w:rFonts w:ascii="Times New Roman" w:hAnsi="Times New Roman"/>
        </w:rPr>
        <w:sym w:font="Symbol" w:char="F0B4"/>
      </w:r>
      <w:r w:rsidR="003F6EBA">
        <w:rPr>
          <w:b w:val="0"/>
          <w:bCs w:val="0"/>
        </w:rPr>
        <w:t xml:space="preserve"> $20 </w:t>
      </w:r>
      <w:r w:rsidR="008B0F09">
        <w:rPr>
          <w:b w:val="0"/>
          <w:bCs w:val="0"/>
        </w:rPr>
        <w:t xml:space="preserve">x 0.95) + (250,000 </w:t>
      </w:r>
      <w:r w:rsidR="00033C5B" w:rsidRPr="00D52ACD">
        <w:rPr>
          <w:rFonts w:ascii="Times New Roman" w:hAnsi="Times New Roman"/>
        </w:rPr>
        <w:sym w:font="Symbol" w:char="F0B4"/>
      </w:r>
      <w:r w:rsidR="008B0F09">
        <w:rPr>
          <w:b w:val="0"/>
          <w:bCs w:val="0"/>
        </w:rPr>
        <w:t xml:space="preserve"> $20 </w:t>
      </w:r>
      <w:r w:rsidR="00033C5B" w:rsidRPr="00D52ACD">
        <w:rPr>
          <w:rFonts w:ascii="Times New Roman" w:hAnsi="Times New Roman"/>
        </w:rPr>
        <w:sym w:font="Symbol" w:char="F0B4"/>
      </w:r>
      <w:r w:rsidR="008B0F09">
        <w:rPr>
          <w:b w:val="0"/>
          <w:bCs w:val="0"/>
        </w:rPr>
        <w:t xml:space="preserve"> 0.90)</w:t>
      </w:r>
    </w:p>
    <w:p w:rsidR="0079456D" w:rsidRDefault="008B0F09" w:rsidP="00585B28">
      <w:pPr>
        <w:pStyle w:val="MCQAns2"/>
        <w:keepNext w:val="0"/>
        <w:spacing w:before="0" w:after="120"/>
        <w:ind w:left="1440" w:firstLine="0"/>
      </w:pPr>
      <w:r w:rsidRPr="008B0F09">
        <w:rPr>
          <w:b w:val="0"/>
        </w:rPr>
        <w:t>= $19,000,000 + $4,500,000</w:t>
      </w:r>
      <w:r>
        <w:rPr>
          <w:b w:val="0"/>
        </w:rPr>
        <w:t xml:space="preserve"> = $23,500,000</w:t>
      </w:r>
      <w:r w:rsidR="00946907">
        <w:rPr>
          <w:b w:val="0"/>
        </w:rPr>
        <w:t xml:space="preserve">  </w:t>
      </w:r>
    </w:p>
    <w:p w:rsidR="003107AA" w:rsidRPr="003107AA" w:rsidRDefault="006418AB" w:rsidP="00443694">
      <w:pPr>
        <w:pStyle w:val="MCQList1"/>
        <w:tabs>
          <w:tab w:val="clear" w:pos="274"/>
          <w:tab w:val="clear" w:pos="446"/>
        </w:tabs>
        <w:spacing w:before="240" w:after="120"/>
        <w:ind w:left="864" w:hanging="432"/>
        <w:rPr>
          <w:b/>
        </w:rPr>
      </w:pPr>
      <w:proofErr w:type="gramStart"/>
      <w:r>
        <w:lastRenderedPageBreak/>
        <w:t>E2-6.</w:t>
      </w:r>
      <w:proofErr w:type="gramEnd"/>
      <w:r>
        <w:tab/>
      </w:r>
      <w:r w:rsidR="006165F0">
        <w:rPr>
          <w:b/>
          <w:i/>
        </w:rPr>
        <w:t>Mortgage-backed s</w:t>
      </w:r>
      <w:r w:rsidR="0079456D" w:rsidRPr="00D65FAE">
        <w:rPr>
          <w:b/>
          <w:i/>
        </w:rPr>
        <w:t>ecurities</w:t>
      </w:r>
      <w:r w:rsidR="00083A13" w:rsidRPr="00D65FAE">
        <w:rPr>
          <w:b/>
          <w:i/>
        </w:rPr>
        <w:t xml:space="preserve"> (MBSs)</w:t>
      </w:r>
      <w:r w:rsidR="00D65FAE">
        <w:rPr>
          <w:i/>
        </w:rPr>
        <w:t xml:space="preserve"> </w:t>
      </w:r>
      <w:r w:rsidR="00D65FAE">
        <w:rPr>
          <w:b/>
        </w:rPr>
        <w:t>(</w:t>
      </w:r>
      <w:r w:rsidR="0065059D">
        <w:rPr>
          <w:b/>
        </w:rPr>
        <w:t xml:space="preserve">LG </w:t>
      </w:r>
      <w:r w:rsidR="00A2383A">
        <w:rPr>
          <w:b/>
        </w:rPr>
        <w:t>6</w:t>
      </w:r>
      <w:r w:rsidR="00D65FAE">
        <w:rPr>
          <w:b/>
        </w:rPr>
        <w:t>)</w:t>
      </w:r>
      <w:r w:rsidR="003107AA" w:rsidRPr="003107AA">
        <w:rPr>
          <w:b/>
        </w:rPr>
        <w:t xml:space="preserve"> </w:t>
      </w:r>
    </w:p>
    <w:p w:rsidR="0079456D" w:rsidRDefault="0079456D" w:rsidP="00443694">
      <w:pPr>
        <w:pStyle w:val="MCQAns2"/>
        <w:tabs>
          <w:tab w:val="clear" w:pos="1483"/>
        </w:tabs>
        <w:spacing w:before="0" w:after="120"/>
        <w:ind w:left="1440"/>
        <w:rPr>
          <w:b w:val="0"/>
          <w:bCs w:val="0"/>
          <w:szCs w:val="22"/>
        </w:rPr>
      </w:pPr>
      <w:r>
        <w:rPr>
          <w:bCs w:val="0"/>
          <w:szCs w:val="22"/>
        </w:rPr>
        <w:t>Answer:</w:t>
      </w:r>
      <w:r>
        <w:rPr>
          <w:szCs w:val="22"/>
        </w:rPr>
        <w:tab/>
      </w:r>
      <w:r w:rsidR="002D3F80">
        <w:rPr>
          <w:b w:val="0"/>
          <w:bCs w:val="0"/>
          <w:szCs w:val="22"/>
        </w:rPr>
        <w:t>S</w:t>
      </w:r>
      <w:r w:rsidR="00F770B2">
        <w:rPr>
          <w:b w:val="0"/>
          <w:bCs w:val="0"/>
          <w:szCs w:val="22"/>
        </w:rPr>
        <w:t xml:space="preserve">tudents should </w:t>
      </w:r>
      <w:r w:rsidR="002D3F80">
        <w:rPr>
          <w:b w:val="0"/>
          <w:bCs w:val="0"/>
          <w:szCs w:val="22"/>
        </w:rPr>
        <w:t xml:space="preserve">start by </w:t>
      </w:r>
      <w:r w:rsidR="00F770B2">
        <w:rPr>
          <w:b w:val="0"/>
          <w:bCs w:val="0"/>
          <w:szCs w:val="22"/>
        </w:rPr>
        <w:t>ask</w:t>
      </w:r>
      <w:r w:rsidR="002D3F80">
        <w:rPr>
          <w:b w:val="0"/>
          <w:bCs w:val="0"/>
          <w:szCs w:val="22"/>
        </w:rPr>
        <w:t>ing</w:t>
      </w:r>
      <w:r w:rsidR="00F770B2">
        <w:rPr>
          <w:b w:val="0"/>
          <w:bCs w:val="0"/>
          <w:szCs w:val="22"/>
        </w:rPr>
        <w:t xml:space="preserve"> </w:t>
      </w:r>
      <w:proofErr w:type="gramStart"/>
      <w:r w:rsidR="00F770B2">
        <w:rPr>
          <w:b w:val="0"/>
          <w:bCs w:val="0"/>
          <w:szCs w:val="22"/>
        </w:rPr>
        <w:t>about</w:t>
      </w:r>
      <w:r w:rsidR="00946907">
        <w:rPr>
          <w:b w:val="0"/>
          <w:bCs w:val="0"/>
          <w:szCs w:val="22"/>
        </w:rPr>
        <w:t xml:space="preserve">  the</w:t>
      </w:r>
      <w:proofErr w:type="gramEnd"/>
      <w:r w:rsidR="00946907">
        <w:rPr>
          <w:b w:val="0"/>
          <w:bCs w:val="0"/>
          <w:szCs w:val="22"/>
        </w:rPr>
        <w:t xml:space="preserve"> following</w:t>
      </w:r>
      <w:r w:rsidR="00CF5962">
        <w:rPr>
          <w:b w:val="0"/>
          <w:bCs w:val="0"/>
          <w:szCs w:val="22"/>
        </w:rPr>
        <w:t xml:space="preserve">: </w:t>
      </w:r>
    </w:p>
    <w:p w:rsidR="0079456D" w:rsidRDefault="0079456D" w:rsidP="00720B0E">
      <w:pPr>
        <w:pStyle w:val="MCQList2a"/>
        <w:keepNext w:val="0"/>
        <w:spacing w:after="60"/>
        <w:ind w:left="1786" w:hanging="360"/>
      </w:pPr>
      <w:r>
        <w:t>a.</w:t>
      </w:r>
      <w:r>
        <w:tab/>
      </w:r>
      <w:r w:rsidR="00946907">
        <w:t>T</w:t>
      </w:r>
      <w:r w:rsidR="00CF5962">
        <w:t>he l</w:t>
      </w:r>
      <w:r>
        <w:t xml:space="preserve">ocation of houses securing the </w:t>
      </w:r>
      <w:r w:rsidR="00AA6359">
        <w:t xml:space="preserve">underlying </w:t>
      </w:r>
      <w:r>
        <w:t>mortgages</w:t>
      </w:r>
      <w:r w:rsidR="00D7334E">
        <w:t xml:space="preserve"> </w:t>
      </w:r>
      <w:r w:rsidR="00AA6359">
        <w:t xml:space="preserve">(As the old saying goes, </w:t>
      </w:r>
      <w:r>
        <w:t xml:space="preserve">the three most important </w:t>
      </w:r>
      <w:r w:rsidR="00AA6359">
        <w:t>determinants of real-</w:t>
      </w:r>
      <w:r>
        <w:t>estate price</w:t>
      </w:r>
      <w:r w:rsidR="00AA6359">
        <w:t>s</w:t>
      </w:r>
      <w:r>
        <w:t xml:space="preserve"> are “location, location, location</w:t>
      </w:r>
      <w:r w:rsidR="00AA6359">
        <w:t>.</w:t>
      </w:r>
      <w:r>
        <w:t>”)</w:t>
      </w:r>
    </w:p>
    <w:p w:rsidR="0079456D" w:rsidRDefault="0079456D" w:rsidP="00720B0E">
      <w:pPr>
        <w:pStyle w:val="MCQList2a"/>
        <w:keepNext w:val="0"/>
        <w:spacing w:after="60"/>
        <w:ind w:left="1786" w:hanging="360"/>
      </w:pPr>
      <w:r>
        <w:t>b.</w:t>
      </w:r>
      <w:r>
        <w:tab/>
      </w:r>
      <w:r w:rsidR="00946907">
        <w:t>T</w:t>
      </w:r>
      <w:r w:rsidR="00CF5962">
        <w:t>he p</w:t>
      </w:r>
      <w:r>
        <w:t xml:space="preserve">ercentage of </w:t>
      </w:r>
      <w:r w:rsidR="00AA6359">
        <w:t>underlying mortgages</w:t>
      </w:r>
      <w:r w:rsidR="00CF5962">
        <w:t xml:space="preserve"> in foreclosure or </w:t>
      </w:r>
      <w:r>
        <w:t>“under water” (</w:t>
      </w:r>
      <w:r w:rsidR="00CF5962">
        <w:t xml:space="preserve">i.e., with market values below the remaining </w:t>
      </w:r>
      <w:r w:rsidR="00F770B2">
        <w:t>balance</w:t>
      </w:r>
      <w:r w:rsidR="00CF5962">
        <w:t>) in the region</w:t>
      </w:r>
    </w:p>
    <w:p w:rsidR="00A37B53" w:rsidRDefault="0079456D" w:rsidP="00720B0E">
      <w:pPr>
        <w:pStyle w:val="MCQList2a"/>
        <w:keepNext w:val="0"/>
        <w:spacing w:after="60"/>
        <w:ind w:left="1786" w:hanging="360"/>
      </w:pPr>
      <w:r>
        <w:t>c.</w:t>
      </w:r>
      <w:r>
        <w:tab/>
      </w:r>
      <w:r w:rsidR="00946907">
        <w:t>T</w:t>
      </w:r>
      <w:r w:rsidR="00A37B53">
        <w:t>he percentage of underlying mortgages currently delinquent</w:t>
      </w:r>
    </w:p>
    <w:p w:rsidR="0079456D" w:rsidRDefault="00A37B53" w:rsidP="00720B0E">
      <w:pPr>
        <w:pStyle w:val="MCQList2a"/>
        <w:keepNext w:val="0"/>
        <w:spacing w:after="60"/>
        <w:ind w:left="1786" w:hanging="360"/>
      </w:pPr>
      <w:r>
        <w:t>d.</w:t>
      </w:r>
      <w:r>
        <w:tab/>
      </w:r>
      <w:r w:rsidR="00946907">
        <w:t>A</w:t>
      </w:r>
      <w:r w:rsidR="00083A13">
        <w:t xml:space="preserve">ny </w:t>
      </w:r>
      <w:r w:rsidR="00CF5962">
        <w:t xml:space="preserve">neighborhood restrictions on </w:t>
      </w:r>
      <w:r w:rsidR="00F770B2">
        <w:t xml:space="preserve">renting and about </w:t>
      </w:r>
      <w:r w:rsidR="00CF5962">
        <w:t xml:space="preserve">the strength of the </w:t>
      </w:r>
      <w:r w:rsidR="00083A13">
        <w:t xml:space="preserve">regional </w:t>
      </w:r>
      <w:r w:rsidR="00CF5962">
        <w:t xml:space="preserve">rental market </w:t>
      </w:r>
    </w:p>
    <w:p w:rsidR="0079456D" w:rsidRDefault="00A37B53" w:rsidP="00720B0E">
      <w:pPr>
        <w:pStyle w:val="MCQList2a"/>
        <w:keepNext w:val="0"/>
        <w:spacing w:after="60"/>
        <w:ind w:left="1786" w:hanging="360"/>
      </w:pPr>
      <w:r>
        <w:t>e</w:t>
      </w:r>
      <w:r w:rsidR="0079456D">
        <w:t>.</w:t>
      </w:r>
      <w:r w:rsidR="0079456D">
        <w:tab/>
      </w:r>
      <w:r w:rsidR="00946907">
        <w:t>T</w:t>
      </w:r>
      <w:r w:rsidR="00083A13">
        <w:t xml:space="preserve">he </w:t>
      </w:r>
      <w:r w:rsidR="00CF5962">
        <w:t>p</w:t>
      </w:r>
      <w:r w:rsidR="0079456D">
        <w:t xml:space="preserve">recedence </w:t>
      </w:r>
      <w:r w:rsidR="00083A13">
        <w:t>of</w:t>
      </w:r>
      <w:r w:rsidR="0079456D">
        <w:t xml:space="preserve"> </w:t>
      </w:r>
      <w:r w:rsidR="00083A13">
        <w:t xml:space="preserve">MBS investors in </w:t>
      </w:r>
      <w:r w:rsidR="0079456D">
        <w:t>bankruptcy (</w:t>
      </w:r>
      <w:r w:rsidR="00CF5962">
        <w:t xml:space="preserve">i.e., </w:t>
      </w:r>
      <w:r w:rsidR="0079456D">
        <w:t xml:space="preserve">would other lenders have a senior claim </w:t>
      </w:r>
      <w:r w:rsidR="00CF5962">
        <w:t xml:space="preserve">on </w:t>
      </w:r>
      <w:r w:rsidR="00F770B2">
        <w:t xml:space="preserve">the </w:t>
      </w:r>
      <w:r w:rsidR="00CF5962">
        <w:t>houses securing the mortgages</w:t>
      </w:r>
      <w:r w:rsidR="0079456D">
        <w:t>?)</w:t>
      </w:r>
    </w:p>
    <w:p w:rsidR="0079456D" w:rsidRDefault="00A37B53" w:rsidP="00720B0E">
      <w:pPr>
        <w:pStyle w:val="MCQList2a"/>
        <w:keepNext w:val="0"/>
        <w:spacing w:after="60"/>
        <w:ind w:left="1786" w:hanging="360"/>
      </w:pPr>
      <w:r>
        <w:t>f</w:t>
      </w:r>
      <w:r w:rsidR="0079456D">
        <w:t>.</w:t>
      </w:r>
      <w:r w:rsidR="0079456D">
        <w:tab/>
      </w:r>
      <w:r w:rsidR="00946907">
        <w:t>T</w:t>
      </w:r>
      <w:r w:rsidR="00AA6359">
        <w:t xml:space="preserve">he condition of homes </w:t>
      </w:r>
      <w:r w:rsidR="006451C2">
        <w:t xml:space="preserve">securing the underlying mortgages </w:t>
      </w:r>
      <w:r w:rsidR="0079456D">
        <w:t>(</w:t>
      </w:r>
      <w:r w:rsidR="00AA6359">
        <w:t xml:space="preserve">e.g., </w:t>
      </w:r>
      <w:r w:rsidR="0079456D">
        <w:t xml:space="preserve">would repairs </w:t>
      </w:r>
      <w:r w:rsidR="00AA6359">
        <w:t>be needed to sell or rent</w:t>
      </w:r>
      <w:r w:rsidR="006451C2">
        <w:t xml:space="preserve"> in the event of foreclosure</w:t>
      </w:r>
      <w:r w:rsidR="0079456D">
        <w:t>?)</w:t>
      </w:r>
    </w:p>
    <w:p w:rsidR="0079456D" w:rsidRDefault="00A37B53" w:rsidP="00720B0E">
      <w:pPr>
        <w:pStyle w:val="MCQList2a"/>
        <w:keepNext w:val="0"/>
        <w:spacing w:after="60"/>
        <w:ind w:left="1786" w:hanging="360"/>
      </w:pPr>
      <w:r>
        <w:t>g</w:t>
      </w:r>
      <w:r w:rsidR="0079456D">
        <w:t>.</w:t>
      </w:r>
      <w:r w:rsidR="0079456D">
        <w:tab/>
      </w:r>
      <w:r w:rsidR="00946907">
        <w:t>T</w:t>
      </w:r>
      <w:r w:rsidR="00AA6359">
        <w:t xml:space="preserve">he creditworthiness of homeowners still current on their mortgages </w:t>
      </w:r>
      <w:r w:rsidR="0079456D">
        <w:t>(</w:t>
      </w:r>
      <w:r w:rsidR="00AA6359">
        <w:t xml:space="preserve">i.e., </w:t>
      </w:r>
      <w:r w:rsidR="0079456D">
        <w:t xml:space="preserve">how likely is it borrowers will be unable to </w:t>
      </w:r>
      <w:r>
        <w:t xml:space="preserve">make </w:t>
      </w:r>
      <w:r w:rsidR="00AA6359">
        <w:t xml:space="preserve">timely </w:t>
      </w:r>
      <w:r w:rsidR="0079456D">
        <w:t>payments</w:t>
      </w:r>
      <w:r>
        <w:t xml:space="preserve"> in the future</w:t>
      </w:r>
      <w:r w:rsidR="0079456D">
        <w:t>?)</w:t>
      </w:r>
    </w:p>
    <w:p w:rsidR="006165F0" w:rsidRDefault="0079456D" w:rsidP="00720B0E">
      <w:pPr>
        <w:pStyle w:val="MCQList2a"/>
        <w:keepNext w:val="0"/>
        <w:ind w:left="1791" w:hanging="360"/>
      </w:pPr>
      <w:r>
        <w:t>h.</w:t>
      </w:r>
      <w:r>
        <w:tab/>
      </w:r>
      <w:r w:rsidR="00946907">
        <w:t>T</w:t>
      </w:r>
      <w:r w:rsidR="00AA6359">
        <w:t xml:space="preserve">he percentage of </w:t>
      </w:r>
      <w:r w:rsidR="00A2383A">
        <w:t xml:space="preserve">pool </w:t>
      </w:r>
      <w:r w:rsidR="00AA6359">
        <w:t xml:space="preserve">mortgages with adjustable </w:t>
      </w:r>
      <w:r w:rsidR="006451C2">
        <w:t xml:space="preserve">interest rates </w:t>
      </w:r>
      <w:r w:rsidR="00A2383A">
        <w:t xml:space="preserve">resetting </w:t>
      </w:r>
      <w:r w:rsidR="00F770B2">
        <w:t>soon</w:t>
      </w:r>
      <w:r w:rsidR="00A37B53">
        <w:t xml:space="preserve"> (particularly in a rising rate environment because </w:t>
      </w:r>
      <w:r w:rsidR="00F770B2">
        <w:t xml:space="preserve">a </w:t>
      </w:r>
      <w:r w:rsidR="00A37B53">
        <w:t>reset</w:t>
      </w:r>
      <w:r w:rsidR="00F770B2">
        <w:t xml:space="preserve"> means</w:t>
      </w:r>
      <w:r w:rsidR="00A37B53">
        <w:t xml:space="preserve"> borrowers will face higher mortgage payments)</w:t>
      </w:r>
    </w:p>
    <w:p w:rsidR="006418AB" w:rsidRDefault="006418AB" w:rsidP="006451C2">
      <w:pPr>
        <w:pStyle w:val="awTB01questionHead"/>
        <w:keepNext w:val="0"/>
        <w:numPr>
          <w:ilvl w:val="0"/>
          <w:numId w:val="1"/>
        </w:numPr>
        <w:spacing w:before="480" w:after="240"/>
        <w:ind w:left="432" w:hanging="432"/>
      </w:pPr>
      <w:r>
        <w:t>Solutions to Problems</w:t>
      </w:r>
    </w:p>
    <w:p w:rsidR="006418AB" w:rsidRPr="003174D2" w:rsidRDefault="005C2E97" w:rsidP="006165F0">
      <w:pPr>
        <w:pStyle w:val="MCQList1"/>
        <w:keepNext w:val="0"/>
        <w:tabs>
          <w:tab w:val="clear" w:pos="274"/>
          <w:tab w:val="clear" w:pos="446"/>
        </w:tabs>
        <w:spacing w:before="240"/>
        <w:ind w:left="1152" w:hanging="720"/>
        <w:rPr>
          <w:b/>
        </w:rPr>
      </w:pPr>
      <w:proofErr w:type="gramStart"/>
      <w:r>
        <w:t>P2-1.</w:t>
      </w:r>
      <w:proofErr w:type="gramEnd"/>
      <w:r>
        <w:tab/>
      </w:r>
      <w:r w:rsidR="007D6DAC" w:rsidRPr="006165F0">
        <w:rPr>
          <w:b/>
          <w:i/>
        </w:rPr>
        <w:t xml:space="preserve">Transactions </w:t>
      </w:r>
      <w:r w:rsidR="006165F0">
        <w:rPr>
          <w:b/>
          <w:i/>
        </w:rPr>
        <w:t>c</w:t>
      </w:r>
      <w:r w:rsidR="007D6DAC" w:rsidRPr="006165F0">
        <w:rPr>
          <w:b/>
          <w:i/>
        </w:rPr>
        <w:t>osts</w:t>
      </w:r>
      <w:r w:rsidR="006165F0" w:rsidRPr="006165F0">
        <w:rPr>
          <w:b/>
          <w:i/>
        </w:rPr>
        <w:t xml:space="preserve"> </w:t>
      </w:r>
      <w:r w:rsidR="006165F0">
        <w:rPr>
          <w:b/>
        </w:rPr>
        <w:t>(</w:t>
      </w:r>
      <w:r w:rsidR="0065059D">
        <w:rPr>
          <w:b/>
        </w:rPr>
        <w:t>LG</w:t>
      </w:r>
      <w:r w:rsidR="006451C2" w:rsidRPr="003174D2">
        <w:rPr>
          <w:b/>
        </w:rPr>
        <w:t>3</w:t>
      </w:r>
      <w:r w:rsidR="006165F0">
        <w:rPr>
          <w:b/>
        </w:rPr>
        <w:t>)</w:t>
      </w:r>
    </w:p>
    <w:p w:rsidR="005C2E97" w:rsidRDefault="005C2E97" w:rsidP="00F57A3C">
      <w:pPr>
        <w:pStyle w:val="MCQList2"/>
        <w:numPr>
          <w:ilvl w:val="0"/>
          <w:numId w:val="2"/>
        </w:numPr>
        <w:spacing w:after="120"/>
      </w:pPr>
      <w:r>
        <w:t xml:space="preserve">Bid/Ask Spread = Ask Price – Bid Price = </w:t>
      </w:r>
      <w:r w:rsidR="0062525C">
        <w:t xml:space="preserve">$263,770 </w:t>
      </w:r>
      <w:r w:rsidR="002C4341">
        <w:t>–</w:t>
      </w:r>
      <w:r w:rsidR="0062525C">
        <w:t xml:space="preserve"> $262,850 = $920</w:t>
      </w:r>
    </w:p>
    <w:p w:rsidR="0062525C" w:rsidRPr="00BB47AA" w:rsidRDefault="0062525C" w:rsidP="002C662E">
      <w:pPr>
        <w:pStyle w:val="CommentText"/>
        <w:numPr>
          <w:ilvl w:val="0"/>
          <w:numId w:val="2"/>
        </w:numPr>
        <w:spacing w:after="120"/>
        <w:rPr>
          <w:sz w:val="22"/>
          <w:szCs w:val="22"/>
          <w:lang w:val="en-US"/>
        </w:rPr>
      </w:pPr>
      <w:r w:rsidRPr="00BB47AA">
        <w:rPr>
          <w:sz w:val="22"/>
          <w:szCs w:val="22"/>
          <w:lang w:val="en-US"/>
        </w:rPr>
        <w:t xml:space="preserve">If Scottrade routes the </w:t>
      </w:r>
      <w:r w:rsidR="00A37B53">
        <w:rPr>
          <w:sz w:val="22"/>
          <w:szCs w:val="22"/>
          <w:lang w:val="en-US"/>
        </w:rPr>
        <w:t xml:space="preserve">buy </w:t>
      </w:r>
      <w:r w:rsidRPr="00BB47AA">
        <w:rPr>
          <w:sz w:val="22"/>
          <w:szCs w:val="22"/>
          <w:lang w:val="en-US"/>
        </w:rPr>
        <w:t>order to the NYSE</w:t>
      </w:r>
      <w:r w:rsidR="007149CB">
        <w:rPr>
          <w:sz w:val="22"/>
          <w:szCs w:val="22"/>
          <w:lang w:val="en-US"/>
        </w:rPr>
        <w:t xml:space="preserve"> (a broker market)</w:t>
      </w:r>
      <w:r w:rsidRPr="00BB47AA">
        <w:rPr>
          <w:sz w:val="22"/>
          <w:szCs w:val="22"/>
          <w:lang w:val="en-US"/>
        </w:rPr>
        <w:t xml:space="preserve">, </w:t>
      </w:r>
      <w:r w:rsidR="00F57A3C">
        <w:rPr>
          <w:sz w:val="22"/>
          <w:szCs w:val="22"/>
          <w:lang w:val="en-US"/>
        </w:rPr>
        <w:t>a</w:t>
      </w:r>
      <w:r w:rsidRPr="00BB47AA">
        <w:rPr>
          <w:sz w:val="22"/>
          <w:szCs w:val="22"/>
          <w:lang w:val="en-US"/>
        </w:rPr>
        <w:t xml:space="preserve"> market maker will execute </w:t>
      </w:r>
      <w:r w:rsidR="00A37B53">
        <w:rPr>
          <w:sz w:val="22"/>
          <w:szCs w:val="22"/>
          <w:lang w:val="en-US"/>
        </w:rPr>
        <w:t xml:space="preserve">the trade </w:t>
      </w:r>
      <w:r w:rsidR="00F57A3C">
        <w:rPr>
          <w:sz w:val="22"/>
          <w:szCs w:val="22"/>
          <w:lang w:val="en-US"/>
        </w:rPr>
        <w:t>at the midpoint of the bid/ask spread</w:t>
      </w:r>
      <w:r w:rsidR="00D7334E">
        <w:rPr>
          <w:sz w:val="22"/>
          <w:szCs w:val="22"/>
          <w:lang w:val="en-US"/>
        </w:rPr>
        <w:t xml:space="preserve">. </w:t>
      </w:r>
      <w:r w:rsidR="002C662E">
        <w:rPr>
          <w:sz w:val="22"/>
          <w:szCs w:val="22"/>
          <w:lang w:val="en-US"/>
        </w:rPr>
        <w:t>In this transaction, t</w:t>
      </w:r>
      <w:r w:rsidR="00F57A3C">
        <w:rPr>
          <w:sz w:val="22"/>
          <w:szCs w:val="22"/>
          <w:lang w:val="en-US"/>
        </w:rPr>
        <w:t xml:space="preserve">he market </w:t>
      </w:r>
      <w:r w:rsidR="007149CB">
        <w:rPr>
          <w:sz w:val="22"/>
          <w:szCs w:val="22"/>
          <w:lang w:val="en-US"/>
        </w:rPr>
        <w:t>maker</w:t>
      </w:r>
      <w:r w:rsidR="00F57A3C">
        <w:rPr>
          <w:sz w:val="22"/>
          <w:szCs w:val="22"/>
          <w:lang w:val="en-US"/>
        </w:rPr>
        <w:t xml:space="preserve"> </w:t>
      </w:r>
      <w:r w:rsidR="002C662E">
        <w:rPr>
          <w:sz w:val="22"/>
          <w:szCs w:val="22"/>
          <w:lang w:val="en-US"/>
        </w:rPr>
        <w:t>serve</w:t>
      </w:r>
      <w:r w:rsidR="00A37B53">
        <w:rPr>
          <w:sz w:val="22"/>
          <w:szCs w:val="22"/>
          <w:lang w:val="en-US"/>
        </w:rPr>
        <w:t>s</w:t>
      </w:r>
      <w:r w:rsidR="002C662E">
        <w:rPr>
          <w:sz w:val="22"/>
          <w:szCs w:val="22"/>
          <w:lang w:val="en-US"/>
        </w:rPr>
        <w:t xml:space="preserve"> as broker</w:t>
      </w:r>
      <w:r w:rsidR="00585B28">
        <w:rPr>
          <w:sz w:val="22"/>
          <w:szCs w:val="22"/>
          <w:lang w:val="en-US"/>
        </w:rPr>
        <w:t xml:space="preserve">, </w:t>
      </w:r>
      <w:r w:rsidR="002C662E">
        <w:rPr>
          <w:sz w:val="22"/>
          <w:szCs w:val="22"/>
          <w:lang w:val="en-US"/>
        </w:rPr>
        <w:t>bringing your buy order together with someone else’</w:t>
      </w:r>
      <w:r w:rsidR="007D6DAC">
        <w:rPr>
          <w:sz w:val="22"/>
          <w:szCs w:val="22"/>
          <w:lang w:val="en-US"/>
        </w:rPr>
        <w:t>s sell order</w:t>
      </w:r>
      <w:r w:rsidR="00585B28">
        <w:rPr>
          <w:sz w:val="22"/>
          <w:szCs w:val="22"/>
          <w:lang w:val="en-US"/>
        </w:rPr>
        <w:t xml:space="preserve"> and </w:t>
      </w:r>
      <w:r w:rsidR="007D6DAC">
        <w:rPr>
          <w:sz w:val="22"/>
          <w:szCs w:val="22"/>
          <w:lang w:val="en-US"/>
        </w:rPr>
        <w:t>forgo</w:t>
      </w:r>
      <w:r w:rsidR="00585B28">
        <w:rPr>
          <w:sz w:val="22"/>
          <w:szCs w:val="22"/>
          <w:lang w:val="en-US"/>
        </w:rPr>
        <w:t>ing</w:t>
      </w:r>
      <w:r w:rsidR="007D6DAC">
        <w:rPr>
          <w:sz w:val="22"/>
          <w:szCs w:val="22"/>
          <w:lang w:val="en-US"/>
        </w:rPr>
        <w:t xml:space="preserve"> the bid/ask spread</w:t>
      </w:r>
      <w:r w:rsidR="00A37B53">
        <w:rPr>
          <w:sz w:val="22"/>
          <w:szCs w:val="22"/>
          <w:lang w:val="en-US"/>
        </w:rPr>
        <w:t>, s</w:t>
      </w:r>
      <w:r w:rsidR="007D6DAC">
        <w:rPr>
          <w:sz w:val="22"/>
          <w:szCs w:val="22"/>
          <w:lang w:val="en-US"/>
        </w:rPr>
        <w:t xml:space="preserve">o </w:t>
      </w:r>
      <w:r w:rsidR="00585B28">
        <w:rPr>
          <w:sz w:val="22"/>
          <w:szCs w:val="22"/>
          <w:lang w:val="en-US"/>
        </w:rPr>
        <w:t xml:space="preserve">total </w:t>
      </w:r>
      <w:r w:rsidR="007D6DAC">
        <w:rPr>
          <w:sz w:val="22"/>
          <w:szCs w:val="22"/>
          <w:lang w:val="en-US"/>
        </w:rPr>
        <w:t>t</w:t>
      </w:r>
      <w:r w:rsidR="00F57A3C">
        <w:rPr>
          <w:sz w:val="22"/>
          <w:szCs w:val="22"/>
          <w:lang w:val="en-US"/>
        </w:rPr>
        <w:t xml:space="preserve">ransactions cost </w:t>
      </w:r>
      <w:r w:rsidR="00585B28">
        <w:rPr>
          <w:sz w:val="22"/>
          <w:szCs w:val="22"/>
          <w:lang w:val="en-US"/>
        </w:rPr>
        <w:t xml:space="preserve">is </w:t>
      </w:r>
      <w:r w:rsidR="007D6DAC">
        <w:rPr>
          <w:sz w:val="22"/>
          <w:szCs w:val="22"/>
          <w:lang w:val="en-US"/>
        </w:rPr>
        <w:t xml:space="preserve">only the brokerage commission paid to Scottrade </w:t>
      </w:r>
      <w:r w:rsidR="007149CB">
        <w:rPr>
          <w:sz w:val="22"/>
          <w:szCs w:val="22"/>
          <w:lang w:val="en-US"/>
        </w:rPr>
        <w:t xml:space="preserve">– </w:t>
      </w:r>
      <w:r w:rsidR="007D6DAC">
        <w:rPr>
          <w:sz w:val="22"/>
          <w:szCs w:val="22"/>
          <w:lang w:val="en-US"/>
        </w:rPr>
        <w:t xml:space="preserve">$7. </w:t>
      </w:r>
    </w:p>
    <w:p w:rsidR="00B83E16" w:rsidRDefault="007149CB" w:rsidP="007D6DAC">
      <w:pPr>
        <w:pStyle w:val="CommentText"/>
        <w:numPr>
          <w:ilvl w:val="0"/>
          <w:numId w:val="2"/>
        </w:numPr>
        <w:spacing w:after="120"/>
        <w:rPr>
          <w:sz w:val="22"/>
          <w:szCs w:val="22"/>
          <w:lang w:val="en-US"/>
        </w:rPr>
      </w:pPr>
      <w:r w:rsidRPr="00BB47AA">
        <w:rPr>
          <w:sz w:val="22"/>
          <w:szCs w:val="22"/>
          <w:lang w:val="en-US"/>
        </w:rPr>
        <w:t xml:space="preserve">If Scottrade routes the buy order to the </w:t>
      </w:r>
      <w:r>
        <w:rPr>
          <w:sz w:val="22"/>
          <w:szCs w:val="22"/>
          <w:lang w:val="en-US"/>
        </w:rPr>
        <w:t>NASDAQ (a dealer market)</w:t>
      </w:r>
      <w:r w:rsidRPr="00BB47AA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the market maker will execute the order from her own inventory and charge half the bid/ask spread</w:t>
      </w:r>
      <w:r w:rsidR="00D7334E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  <w:lang w:val="en-US"/>
        </w:rPr>
        <w:t xml:space="preserve">So </w:t>
      </w:r>
      <w:r w:rsidR="00585B28">
        <w:rPr>
          <w:sz w:val="22"/>
          <w:szCs w:val="22"/>
          <w:lang w:val="en-US"/>
        </w:rPr>
        <w:t xml:space="preserve">total transactions costs will be (0.50 </w:t>
      </w:r>
      <w:r w:rsidR="000C039E" w:rsidRPr="00D52ACD">
        <w:sym w:font="Symbol" w:char="F0B4"/>
      </w:r>
      <w:r w:rsidR="00585B28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$920</w:t>
      </w:r>
      <w:r w:rsidR="00585B28">
        <w:rPr>
          <w:sz w:val="22"/>
          <w:szCs w:val="22"/>
          <w:lang w:val="en-US"/>
        </w:rPr>
        <w:t xml:space="preserve">) plus the </w:t>
      </w:r>
      <w:r>
        <w:rPr>
          <w:sz w:val="22"/>
          <w:szCs w:val="22"/>
          <w:lang w:val="en-US"/>
        </w:rPr>
        <w:t>$7 commission</w:t>
      </w:r>
      <w:r w:rsidR="00585B28">
        <w:rPr>
          <w:sz w:val="22"/>
          <w:szCs w:val="22"/>
          <w:lang w:val="en-US"/>
        </w:rPr>
        <w:t xml:space="preserve"> </w:t>
      </w:r>
      <w:r w:rsidR="002D3F80">
        <w:rPr>
          <w:sz w:val="22"/>
          <w:szCs w:val="22"/>
          <w:lang w:val="en-US"/>
        </w:rPr>
        <w:t>or</w:t>
      </w:r>
      <w:r w:rsidR="00585B28">
        <w:rPr>
          <w:sz w:val="22"/>
          <w:szCs w:val="22"/>
          <w:lang w:val="en-US"/>
        </w:rPr>
        <w:t xml:space="preserve"> $</w:t>
      </w:r>
      <w:r>
        <w:rPr>
          <w:sz w:val="22"/>
          <w:szCs w:val="22"/>
          <w:lang w:val="en-US"/>
        </w:rPr>
        <w:t>467.</w:t>
      </w:r>
    </w:p>
    <w:p w:rsidR="003174D2" w:rsidRPr="00F770B2" w:rsidRDefault="003174D2" w:rsidP="00A33284">
      <w:pPr>
        <w:pStyle w:val="CommentText"/>
        <w:numPr>
          <w:ilvl w:val="0"/>
          <w:numId w:val="2"/>
        </w:numPr>
        <w:spacing w:after="120"/>
        <w:rPr>
          <w:sz w:val="22"/>
          <w:szCs w:val="22"/>
          <w:lang w:val="en-US"/>
        </w:rPr>
      </w:pPr>
      <w:r w:rsidRPr="00F770B2">
        <w:rPr>
          <w:sz w:val="22"/>
          <w:szCs w:val="22"/>
          <w:lang w:val="en-US"/>
        </w:rPr>
        <w:t xml:space="preserve">The midpoint of the bid/ask spread is the implied market value of the stock, and the market value of the trade equals </w:t>
      </w:r>
      <w:r w:rsidR="00C271E4" w:rsidRPr="00F770B2">
        <w:rPr>
          <w:sz w:val="22"/>
          <w:szCs w:val="22"/>
          <w:lang w:val="en-US"/>
        </w:rPr>
        <w:t xml:space="preserve">the product of </w:t>
      </w:r>
      <w:r w:rsidRPr="00F770B2">
        <w:rPr>
          <w:sz w:val="22"/>
          <w:szCs w:val="22"/>
          <w:lang w:val="en-US"/>
        </w:rPr>
        <w:t>the market value of the stock</w:t>
      </w:r>
      <w:r w:rsidR="00C271E4" w:rsidRPr="00F770B2">
        <w:rPr>
          <w:sz w:val="22"/>
          <w:szCs w:val="22"/>
          <w:lang w:val="en-US"/>
        </w:rPr>
        <w:t xml:space="preserve"> and the number of shares traded</w:t>
      </w:r>
      <w:r w:rsidR="00D7334E">
        <w:rPr>
          <w:sz w:val="22"/>
          <w:szCs w:val="22"/>
          <w:lang w:val="en-US"/>
        </w:rPr>
        <w:t xml:space="preserve">. </w:t>
      </w:r>
    </w:p>
    <w:p w:rsidR="003174D2" w:rsidRPr="00F770B2" w:rsidRDefault="003174D2" w:rsidP="003174D2">
      <w:pPr>
        <w:pStyle w:val="CommentText"/>
        <w:spacing w:after="60"/>
        <w:ind w:left="1512"/>
        <w:rPr>
          <w:sz w:val="22"/>
          <w:szCs w:val="22"/>
          <w:lang w:val="en-US"/>
        </w:rPr>
      </w:pPr>
      <w:r w:rsidRPr="00F770B2">
        <w:rPr>
          <w:sz w:val="22"/>
          <w:szCs w:val="22"/>
          <w:lang w:val="en-US"/>
        </w:rPr>
        <w:t xml:space="preserve">Midpoint of </w:t>
      </w:r>
      <w:r w:rsidR="002D3F80">
        <w:rPr>
          <w:sz w:val="22"/>
          <w:szCs w:val="22"/>
          <w:lang w:val="en-US"/>
        </w:rPr>
        <w:t>b</w:t>
      </w:r>
      <w:r w:rsidRPr="00F770B2">
        <w:rPr>
          <w:sz w:val="22"/>
          <w:szCs w:val="22"/>
        </w:rPr>
        <w:t>id/</w:t>
      </w:r>
      <w:r w:rsidR="002D3F80">
        <w:rPr>
          <w:sz w:val="22"/>
          <w:szCs w:val="22"/>
          <w:lang w:val="en-US"/>
        </w:rPr>
        <w:t>a</w:t>
      </w:r>
      <w:proofErr w:type="spellStart"/>
      <w:r w:rsidRPr="00F770B2">
        <w:rPr>
          <w:sz w:val="22"/>
          <w:szCs w:val="22"/>
        </w:rPr>
        <w:t>sk</w:t>
      </w:r>
      <w:proofErr w:type="spellEnd"/>
      <w:r w:rsidRPr="00F770B2">
        <w:rPr>
          <w:sz w:val="22"/>
          <w:szCs w:val="22"/>
        </w:rPr>
        <w:t xml:space="preserve"> </w:t>
      </w:r>
      <w:r w:rsidR="002D3F80">
        <w:rPr>
          <w:sz w:val="22"/>
          <w:szCs w:val="22"/>
          <w:lang w:val="en-US"/>
        </w:rPr>
        <w:t>s</w:t>
      </w:r>
      <w:proofErr w:type="spellStart"/>
      <w:r w:rsidRPr="00F770B2">
        <w:rPr>
          <w:sz w:val="22"/>
          <w:szCs w:val="22"/>
        </w:rPr>
        <w:t>pread</w:t>
      </w:r>
      <w:proofErr w:type="spellEnd"/>
      <w:r w:rsidRPr="00F770B2">
        <w:rPr>
          <w:sz w:val="22"/>
          <w:szCs w:val="22"/>
        </w:rPr>
        <w:t xml:space="preserve"> = </w:t>
      </w:r>
      <w:r w:rsidRPr="00F770B2">
        <w:rPr>
          <w:sz w:val="22"/>
          <w:szCs w:val="22"/>
          <w:lang w:val="en-US"/>
        </w:rPr>
        <w:t>(</w:t>
      </w:r>
      <w:r w:rsidRPr="00F770B2">
        <w:rPr>
          <w:sz w:val="22"/>
          <w:szCs w:val="22"/>
        </w:rPr>
        <w:t>$</w:t>
      </w:r>
      <w:r w:rsidRPr="00F770B2">
        <w:rPr>
          <w:sz w:val="22"/>
          <w:szCs w:val="22"/>
          <w:lang w:val="en-US"/>
        </w:rPr>
        <w:t>263,770</w:t>
      </w:r>
      <w:r w:rsidRPr="00F770B2">
        <w:rPr>
          <w:sz w:val="22"/>
          <w:szCs w:val="22"/>
        </w:rPr>
        <w:t xml:space="preserve"> </w:t>
      </w:r>
      <w:r w:rsidRPr="00F770B2">
        <w:rPr>
          <w:sz w:val="22"/>
          <w:szCs w:val="22"/>
          <w:lang w:val="en-US"/>
        </w:rPr>
        <w:t>+</w:t>
      </w:r>
      <w:r w:rsidRPr="00F770B2">
        <w:rPr>
          <w:sz w:val="22"/>
          <w:szCs w:val="22"/>
        </w:rPr>
        <w:t xml:space="preserve"> $</w:t>
      </w:r>
      <w:r w:rsidRPr="00F770B2">
        <w:rPr>
          <w:sz w:val="22"/>
          <w:szCs w:val="22"/>
          <w:lang w:val="en-US"/>
        </w:rPr>
        <w:t>262,850) / 2</w:t>
      </w:r>
      <w:r w:rsidRPr="00F770B2">
        <w:rPr>
          <w:sz w:val="22"/>
          <w:szCs w:val="22"/>
        </w:rPr>
        <w:t xml:space="preserve"> = $</w:t>
      </w:r>
      <w:r w:rsidRPr="00F770B2">
        <w:rPr>
          <w:sz w:val="22"/>
          <w:szCs w:val="22"/>
          <w:lang w:val="en-US"/>
        </w:rPr>
        <w:t>263,310</w:t>
      </w:r>
    </w:p>
    <w:p w:rsidR="003174D2" w:rsidRPr="00F770B2" w:rsidRDefault="002D3F80" w:rsidP="003174D2">
      <w:pPr>
        <w:pStyle w:val="CommentText"/>
        <w:spacing w:after="60"/>
        <w:ind w:left="1512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So, i</w:t>
      </w:r>
      <w:r w:rsidR="003174D2" w:rsidRPr="00F770B2">
        <w:rPr>
          <w:sz w:val="22"/>
          <w:szCs w:val="22"/>
          <w:lang w:val="en-US"/>
        </w:rPr>
        <w:t xml:space="preserve">mplied market value of the trade = $263,310 </w:t>
      </w:r>
      <w:r w:rsidR="000C039E" w:rsidRPr="00D52ACD">
        <w:sym w:font="Symbol" w:char="F0B4"/>
      </w:r>
      <w:r w:rsidR="003174D2" w:rsidRPr="00F770B2">
        <w:rPr>
          <w:sz w:val="22"/>
          <w:szCs w:val="22"/>
          <w:lang w:val="en-US"/>
        </w:rPr>
        <w:t xml:space="preserve"> 1 share = $263,310</w:t>
      </w:r>
    </w:p>
    <w:p w:rsidR="0065059D" w:rsidRPr="003174D2" w:rsidRDefault="006418AB" w:rsidP="006165F0">
      <w:pPr>
        <w:pStyle w:val="MCQList1"/>
        <w:keepNext w:val="0"/>
        <w:tabs>
          <w:tab w:val="clear" w:pos="274"/>
          <w:tab w:val="clear" w:pos="446"/>
        </w:tabs>
        <w:spacing w:before="240"/>
        <w:ind w:left="1152" w:hanging="720"/>
        <w:rPr>
          <w:b/>
        </w:rPr>
      </w:pPr>
      <w:proofErr w:type="gramStart"/>
      <w:r w:rsidRPr="0065059D">
        <w:t>P2-2.</w:t>
      </w:r>
      <w:proofErr w:type="gramEnd"/>
      <w:r w:rsidRPr="0065059D">
        <w:tab/>
      </w:r>
      <w:r w:rsidR="00142487" w:rsidRPr="006165F0">
        <w:rPr>
          <w:b/>
          <w:i/>
        </w:rPr>
        <w:t xml:space="preserve">Transactions </w:t>
      </w:r>
      <w:r w:rsidR="006165F0">
        <w:rPr>
          <w:b/>
          <w:i/>
        </w:rPr>
        <w:t>c</w:t>
      </w:r>
      <w:r w:rsidR="00142487" w:rsidRPr="006165F0">
        <w:rPr>
          <w:b/>
          <w:i/>
        </w:rPr>
        <w:t>osts</w:t>
      </w:r>
      <w:r w:rsidR="006165F0">
        <w:rPr>
          <w:b/>
          <w:i/>
        </w:rPr>
        <w:t xml:space="preserve"> </w:t>
      </w:r>
      <w:r w:rsidR="006165F0">
        <w:rPr>
          <w:b/>
        </w:rPr>
        <w:t>(</w:t>
      </w:r>
      <w:r w:rsidR="0065059D">
        <w:rPr>
          <w:b/>
        </w:rPr>
        <w:t>LG</w:t>
      </w:r>
      <w:r w:rsidR="003F6EBA">
        <w:rPr>
          <w:b/>
        </w:rPr>
        <w:t xml:space="preserve"> </w:t>
      </w:r>
      <w:r w:rsidR="0065059D" w:rsidRPr="003174D2">
        <w:rPr>
          <w:b/>
        </w:rPr>
        <w:t>3</w:t>
      </w:r>
      <w:r w:rsidR="006165F0">
        <w:rPr>
          <w:b/>
        </w:rPr>
        <w:t>)</w:t>
      </w:r>
    </w:p>
    <w:p w:rsidR="006418AB" w:rsidRDefault="006418AB" w:rsidP="00E5620C">
      <w:pPr>
        <w:pStyle w:val="MCQList2"/>
        <w:tabs>
          <w:tab w:val="left" w:pos="3330"/>
          <w:tab w:val="left" w:pos="3600"/>
        </w:tabs>
        <w:spacing w:after="60"/>
        <w:ind w:left="1512" w:hanging="360"/>
      </w:pPr>
      <w:r>
        <w:rPr>
          <w:bCs/>
        </w:rPr>
        <w:t>a.</w:t>
      </w:r>
      <w:r w:rsidR="00720B0E">
        <w:tab/>
      </w:r>
      <w:r w:rsidR="00E5620C">
        <w:t>T</w:t>
      </w:r>
      <w:r w:rsidR="00720B0E">
        <w:t>ransactions costs</w:t>
      </w:r>
      <w:r w:rsidR="00142487">
        <w:tab/>
      </w:r>
      <w:r w:rsidR="00720B0E">
        <w:t xml:space="preserve">= </w:t>
      </w:r>
      <w:r w:rsidR="00A80C64">
        <w:tab/>
      </w:r>
      <w:r w:rsidR="00720B0E">
        <w:t xml:space="preserve">(Number of </w:t>
      </w:r>
      <w:r w:rsidR="00A80C64">
        <w:t>s</w:t>
      </w:r>
      <w:r w:rsidR="00720B0E">
        <w:t xml:space="preserve">hares) </w:t>
      </w:r>
      <w:r w:rsidR="000C039E" w:rsidRPr="00D52ACD">
        <w:rPr>
          <w:rFonts w:ascii="Times New Roman" w:hAnsi="Times New Roman"/>
        </w:rPr>
        <w:sym w:font="Symbol" w:char="F0B4"/>
      </w:r>
      <w:r>
        <w:t xml:space="preserve"> </w:t>
      </w:r>
      <w:r w:rsidR="00142487">
        <w:t>[</w:t>
      </w:r>
      <w:r w:rsidR="00720B0E">
        <w:t>(0.50)</w:t>
      </w:r>
      <w:r w:rsidR="00142487">
        <w:t xml:space="preserve"> x (Bid/</w:t>
      </w:r>
      <w:r w:rsidR="00A80C64">
        <w:t>a</w:t>
      </w:r>
      <w:r w:rsidR="00142487">
        <w:t xml:space="preserve">sk </w:t>
      </w:r>
      <w:r w:rsidR="00A80C64">
        <w:t>spread)]</w:t>
      </w:r>
      <w:r w:rsidR="00142487">
        <w:t xml:space="preserve"> </w:t>
      </w:r>
      <w:r w:rsidR="00142487">
        <w:br/>
      </w:r>
      <w:r w:rsidR="00142487">
        <w:tab/>
      </w:r>
      <w:r w:rsidR="00142487">
        <w:tab/>
        <w:t xml:space="preserve">+ Brokerage </w:t>
      </w:r>
      <w:r w:rsidR="00A80C64">
        <w:t>c</w:t>
      </w:r>
      <w:r w:rsidR="00142487">
        <w:t>ommission</w:t>
      </w:r>
    </w:p>
    <w:p w:rsidR="00142487" w:rsidRDefault="00142487" w:rsidP="00E5620C">
      <w:pPr>
        <w:pStyle w:val="MCQList2"/>
        <w:tabs>
          <w:tab w:val="left" w:pos="3870"/>
        </w:tabs>
        <w:spacing w:after="60"/>
        <w:ind w:left="1512" w:hanging="360"/>
      </w:pPr>
      <w:r>
        <w:tab/>
        <w:t xml:space="preserve">$59.95 = [(1,200) </w:t>
      </w:r>
      <w:r w:rsidR="000C039E" w:rsidRPr="00D52ACD">
        <w:rPr>
          <w:rFonts w:ascii="Times New Roman" w:hAnsi="Times New Roman"/>
        </w:rPr>
        <w:sym w:font="Symbol" w:char="F0B4"/>
      </w:r>
      <w:r>
        <w:t xml:space="preserve"> (0.50) </w:t>
      </w:r>
      <w:r w:rsidR="000C039E" w:rsidRPr="00D52ACD">
        <w:rPr>
          <w:rFonts w:ascii="Times New Roman" w:hAnsi="Times New Roman"/>
        </w:rPr>
        <w:sym w:font="Symbol" w:char="F0B4"/>
      </w:r>
      <w:r>
        <w:t xml:space="preserve"> (Bid/</w:t>
      </w:r>
      <w:r w:rsidR="00A80C64">
        <w:t>a</w:t>
      </w:r>
      <w:r>
        <w:t xml:space="preserve">sk </w:t>
      </w:r>
      <w:r w:rsidR="00A80C64">
        <w:t>s</w:t>
      </w:r>
      <w:r>
        <w:t>pread)] + $29.95</w:t>
      </w:r>
    </w:p>
    <w:p w:rsidR="00142487" w:rsidRDefault="005E3F96" w:rsidP="00443694">
      <w:pPr>
        <w:pStyle w:val="MCQList2"/>
        <w:keepNext w:val="0"/>
        <w:tabs>
          <w:tab w:val="left" w:pos="3870"/>
        </w:tabs>
        <w:spacing w:after="120"/>
        <w:ind w:left="1512" w:hanging="360"/>
      </w:pPr>
      <w:r>
        <w:tab/>
        <w:t>Bid/</w:t>
      </w:r>
      <w:r w:rsidR="00A80C64">
        <w:t>a</w:t>
      </w:r>
      <w:r>
        <w:t xml:space="preserve">sk </w:t>
      </w:r>
      <w:r w:rsidR="00A80C64">
        <w:t>s</w:t>
      </w:r>
      <w:r>
        <w:t xml:space="preserve">pread = </w:t>
      </w:r>
      <w:r w:rsidR="00142487">
        <w:t xml:space="preserve">($59.95 </w:t>
      </w:r>
      <w:r w:rsidR="00033C5B">
        <w:t>–</w:t>
      </w:r>
      <w:r w:rsidR="00142487">
        <w:t xml:space="preserve"> $29.95) / 600 = </w:t>
      </w:r>
      <w:r>
        <w:t>$0.05</w:t>
      </w:r>
    </w:p>
    <w:p w:rsidR="005E3F96" w:rsidRPr="006142AA" w:rsidRDefault="005E3F96" w:rsidP="00443694">
      <w:pPr>
        <w:pStyle w:val="MCQList2"/>
        <w:keepNext w:val="0"/>
        <w:tabs>
          <w:tab w:val="left" w:pos="3870"/>
          <w:tab w:val="left" w:pos="4230"/>
        </w:tabs>
        <w:spacing w:after="120"/>
        <w:ind w:left="1512" w:hanging="360"/>
      </w:pPr>
      <w:r>
        <w:lastRenderedPageBreak/>
        <w:t>b.</w:t>
      </w:r>
      <w:r>
        <w:tab/>
        <w:t>Twitter is listed on the NYSE, a broker market</w:t>
      </w:r>
      <w:r w:rsidR="00D7334E">
        <w:t xml:space="preserve">. </w:t>
      </w:r>
      <w:r w:rsidR="00A2383A">
        <w:t>So</w:t>
      </w:r>
      <w:r>
        <w:t>, had Charles Schwab routed the order to the NYSE</w:t>
      </w:r>
      <w:r w:rsidR="00A80C64">
        <w:t>,</w:t>
      </w:r>
      <w:r>
        <w:t xml:space="preserve"> it could have been executed aga</w:t>
      </w:r>
      <w:r w:rsidR="00066F6B">
        <w:t xml:space="preserve">inst a buy order, and </w:t>
      </w:r>
      <w:r>
        <w:t xml:space="preserve">total transaction costs would have been </w:t>
      </w:r>
      <w:r w:rsidR="00066F6B">
        <w:t xml:space="preserve">only </w:t>
      </w:r>
      <w:r>
        <w:t>the $29.95 brokerage commission</w:t>
      </w:r>
      <w:r w:rsidR="00D7334E">
        <w:t xml:space="preserve">. </w:t>
      </w:r>
      <w:r>
        <w:t>But transaction costs included half the bid/ask spread per share traded</w:t>
      </w:r>
      <w:r w:rsidR="003D160F">
        <w:t>, so</w:t>
      </w:r>
      <w:r>
        <w:t xml:space="preserve"> </w:t>
      </w:r>
      <w:r w:rsidR="00D64088">
        <w:t>either</w:t>
      </w:r>
      <w:r w:rsidR="003D160F">
        <w:t xml:space="preserve"> (</w:t>
      </w:r>
      <w:proofErr w:type="spellStart"/>
      <w:r w:rsidR="003D160F">
        <w:t>i</w:t>
      </w:r>
      <w:proofErr w:type="spellEnd"/>
      <w:r w:rsidR="003D160F">
        <w:t xml:space="preserve">) </w:t>
      </w:r>
      <w:r w:rsidR="00E038FD">
        <w:t xml:space="preserve">the order went to </w:t>
      </w:r>
      <w:r>
        <w:t>the NYSE</w:t>
      </w:r>
      <w:r w:rsidR="00D64088">
        <w:t xml:space="preserve">, </w:t>
      </w:r>
      <w:r>
        <w:t xml:space="preserve">no public buy order </w:t>
      </w:r>
      <w:r w:rsidR="00D64088">
        <w:t xml:space="preserve">was available, </w:t>
      </w:r>
      <w:r w:rsidR="00A80C64">
        <w:t>and</w:t>
      </w:r>
      <w:r>
        <w:t xml:space="preserve"> the market maker </w:t>
      </w:r>
      <w:r w:rsidR="00E038FD">
        <w:t xml:space="preserve">bought the 1,200 shares for her </w:t>
      </w:r>
      <w:r>
        <w:t xml:space="preserve">inventory </w:t>
      </w:r>
      <w:r w:rsidR="00D64088">
        <w:t>(</w:t>
      </w:r>
      <w:r w:rsidR="00A80C64">
        <w:t>at a cost of</w:t>
      </w:r>
      <w:r>
        <w:t xml:space="preserve"> half </w:t>
      </w:r>
      <w:r w:rsidR="003D160F">
        <w:t>the bid/ask spread per share</w:t>
      </w:r>
      <w:r w:rsidR="00D64088">
        <w:t>)</w:t>
      </w:r>
      <w:r w:rsidR="003D160F">
        <w:t xml:space="preserve"> or (ii) </w:t>
      </w:r>
      <w:r>
        <w:t>Charles Schwab routed the order to a dealer market</w:t>
      </w:r>
      <w:r w:rsidR="00A80C64">
        <w:t xml:space="preserve"> like </w:t>
      </w:r>
      <w:r w:rsidR="003D160F">
        <w:t>NASDAQ</w:t>
      </w:r>
      <w:r>
        <w:t xml:space="preserve">, and </w:t>
      </w:r>
      <w:r w:rsidR="00D64088">
        <w:t>a</w:t>
      </w:r>
      <w:r>
        <w:t xml:space="preserve"> market maker </w:t>
      </w:r>
      <w:r w:rsidR="00E038FD">
        <w:t xml:space="preserve">added the shares to her </w:t>
      </w:r>
      <w:r>
        <w:t xml:space="preserve">inventory </w:t>
      </w:r>
      <w:r w:rsidR="00A80C64">
        <w:t xml:space="preserve">(at </w:t>
      </w:r>
      <w:r>
        <w:t xml:space="preserve">half </w:t>
      </w:r>
      <w:r w:rsidR="003D160F">
        <w:t xml:space="preserve">the </w:t>
      </w:r>
      <w:r>
        <w:t>spread per share</w:t>
      </w:r>
      <w:r w:rsidR="00A80C64">
        <w:t>)</w:t>
      </w:r>
      <w:r>
        <w:t>.</w:t>
      </w:r>
    </w:p>
    <w:p w:rsidR="003D160F" w:rsidRDefault="003D160F" w:rsidP="00E5620C">
      <w:pPr>
        <w:pStyle w:val="MCQList2"/>
        <w:tabs>
          <w:tab w:val="left" w:pos="3330"/>
          <w:tab w:val="left" w:pos="3600"/>
        </w:tabs>
        <w:spacing w:after="60"/>
        <w:ind w:left="1512" w:hanging="360"/>
      </w:pPr>
      <w:r>
        <w:t>c.</w:t>
      </w:r>
      <w:r>
        <w:tab/>
      </w:r>
      <w:r w:rsidR="00E5620C">
        <w:t>T</w:t>
      </w:r>
      <w:r>
        <w:t>ransactions costs</w:t>
      </w:r>
      <w:r>
        <w:tab/>
        <w:t xml:space="preserve">= </w:t>
      </w:r>
      <w:r>
        <w:tab/>
        <w:t xml:space="preserve">(Number of </w:t>
      </w:r>
      <w:r w:rsidR="00E0227C">
        <w:t>s</w:t>
      </w:r>
      <w:r>
        <w:t>hares</w:t>
      </w:r>
      <w:r w:rsidR="00E0227C">
        <w:t xml:space="preserve">) </w:t>
      </w:r>
      <w:r w:rsidR="000C039E" w:rsidRPr="00D52ACD">
        <w:rPr>
          <w:rFonts w:ascii="Times New Roman" w:hAnsi="Times New Roman"/>
        </w:rPr>
        <w:sym w:font="Symbol" w:char="F0B4"/>
      </w:r>
      <w:r w:rsidR="00E0227C">
        <w:t xml:space="preserve"> [(0.50) </w:t>
      </w:r>
      <w:r w:rsidR="00033C5B" w:rsidRPr="00D52ACD">
        <w:rPr>
          <w:rFonts w:ascii="Times New Roman" w:hAnsi="Times New Roman"/>
        </w:rPr>
        <w:sym w:font="Symbol" w:char="F0B4"/>
      </w:r>
      <w:r w:rsidR="00E0227C">
        <w:t xml:space="preserve"> (Bid/ask spread)]</w:t>
      </w:r>
      <w:r>
        <w:t xml:space="preserve"> </w:t>
      </w:r>
      <w:r>
        <w:br/>
      </w:r>
      <w:r>
        <w:tab/>
      </w:r>
      <w:r>
        <w:tab/>
        <w:t xml:space="preserve">+ Brokerage </w:t>
      </w:r>
      <w:r w:rsidR="00E0227C">
        <w:t>c</w:t>
      </w:r>
      <w:r>
        <w:t>ommission</w:t>
      </w:r>
    </w:p>
    <w:p w:rsidR="003D160F" w:rsidRDefault="003D160F" w:rsidP="00E5620C">
      <w:pPr>
        <w:pStyle w:val="MCQList2"/>
        <w:tabs>
          <w:tab w:val="left" w:pos="3870"/>
        </w:tabs>
        <w:spacing w:after="60"/>
        <w:ind w:left="1512" w:hanging="360"/>
      </w:pPr>
      <w:r>
        <w:tab/>
        <w:t xml:space="preserve">$47.95 = [(1,200) </w:t>
      </w:r>
      <w:r w:rsidR="000C039E" w:rsidRPr="00D52ACD">
        <w:rPr>
          <w:rFonts w:ascii="Times New Roman" w:hAnsi="Times New Roman"/>
        </w:rPr>
        <w:sym w:font="Symbol" w:char="F0B4"/>
      </w:r>
      <w:r>
        <w:t xml:space="preserve"> (0.50) </w:t>
      </w:r>
      <w:r w:rsidR="000C039E" w:rsidRPr="00D52ACD">
        <w:rPr>
          <w:rFonts w:ascii="Times New Roman" w:hAnsi="Times New Roman"/>
        </w:rPr>
        <w:sym w:font="Symbol" w:char="F0B4"/>
      </w:r>
      <w:r>
        <w:t xml:space="preserve"> (Bid/</w:t>
      </w:r>
      <w:r w:rsidR="00E0227C">
        <w:t>a</w:t>
      </w:r>
      <w:r>
        <w:t xml:space="preserve">sk </w:t>
      </w:r>
      <w:r w:rsidR="00E0227C">
        <w:t>s</w:t>
      </w:r>
      <w:r>
        <w:t>pread)] + $29.95</w:t>
      </w:r>
    </w:p>
    <w:p w:rsidR="003D160F" w:rsidRDefault="003D160F" w:rsidP="00E5620C">
      <w:pPr>
        <w:pStyle w:val="MCQList2"/>
        <w:tabs>
          <w:tab w:val="left" w:pos="3870"/>
        </w:tabs>
        <w:spacing w:after="120"/>
        <w:ind w:left="1512" w:hanging="360"/>
      </w:pPr>
      <w:r>
        <w:tab/>
        <w:t>Bid/</w:t>
      </w:r>
      <w:r w:rsidR="00E0227C">
        <w:t>a</w:t>
      </w:r>
      <w:r>
        <w:t xml:space="preserve">sk </w:t>
      </w:r>
      <w:r w:rsidR="00E0227C">
        <w:t>s</w:t>
      </w:r>
      <w:r>
        <w:t xml:space="preserve">pread = ($47.95 </w:t>
      </w:r>
      <w:r w:rsidR="00033C5B">
        <w:t>–</w:t>
      </w:r>
      <w:r>
        <w:t xml:space="preserve"> $29.95) / 600 = $0.03</w:t>
      </w:r>
    </w:p>
    <w:p w:rsidR="005E3F96" w:rsidRDefault="00E5620C" w:rsidP="00323C25">
      <w:pPr>
        <w:pStyle w:val="MCQList2"/>
        <w:numPr>
          <w:ilvl w:val="0"/>
          <w:numId w:val="3"/>
        </w:numPr>
        <w:tabs>
          <w:tab w:val="left" w:pos="3870"/>
          <w:tab w:val="left" w:pos="4230"/>
        </w:tabs>
        <w:spacing w:after="60"/>
      </w:pPr>
      <w:r>
        <w:t>Total transactions costs = Transactions costs from sale + Transactions costs from purchase</w:t>
      </w:r>
    </w:p>
    <w:p w:rsidR="00E5620C" w:rsidRPr="00413813" w:rsidRDefault="00E5620C" w:rsidP="00E5620C">
      <w:pPr>
        <w:pStyle w:val="MCQList2"/>
        <w:tabs>
          <w:tab w:val="left" w:pos="3870"/>
          <w:tab w:val="left" w:pos="4230"/>
        </w:tabs>
        <w:spacing w:after="120"/>
        <w:ind w:left="1512" w:firstLine="0"/>
        <w:rPr>
          <w:b/>
        </w:rPr>
      </w:pPr>
      <w:r>
        <w:t>T</w:t>
      </w:r>
      <w:r w:rsidR="00E0227C">
        <w:t>otal t</w:t>
      </w:r>
      <w:r>
        <w:t>ransactions cost</w:t>
      </w:r>
      <w:r w:rsidR="00E0227C">
        <w:t>s</w:t>
      </w:r>
      <w:r>
        <w:t xml:space="preserve"> = </w:t>
      </w:r>
      <w:r w:rsidR="00CA68DB">
        <w:t xml:space="preserve">$59.95 + $47.95 </w:t>
      </w:r>
      <w:r w:rsidR="00CA68DB" w:rsidRPr="00946907">
        <w:rPr>
          <w:b/>
        </w:rPr>
        <w:t>= $107.</w:t>
      </w:r>
      <w:r w:rsidR="00946907">
        <w:rPr>
          <w:b/>
        </w:rPr>
        <w:t xml:space="preserve">  </w:t>
      </w:r>
      <w:r w:rsidR="00946907" w:rsidRPr="00946907">
        <w:rPr>
          <w:b/>
        </w:rPr>
        <w:t>90</w:t>
      </w:r>
      <w:r w:rsidR="00946907">
        <w:rPr>
          <w:b/>
        </w:rPr>
        <w:t xml:space="preserve">  </w:t>
      </w:r>
    </w:p>
    <w:p w:rsidR="00CA68DB" w:rsidRDefault="00E0227C" w:rsidP="00173657">
      <w:pPr>
        <w:pStyle w:val="MCQList2"/>
        <w:tabs>
          <w:tab w:val="left" w:pos="3870"/>
          <w:tab w:val="left" w:pos="4230"/>
        </w:tabs>
        <w:spacing w:after="0"/>
        <w:ind w:left="1512" w:firstLine="0"/>
      </w:pPr>
      <w:r>
        <w:t>Costs could</w:t>
      </w:r>
      <w:r w:rsidR="00CA68DB">
        <w:t xml:space="preserve"> have </w:t>
      </w:r>
      <w:r>
        <w:t xml:space="preserve">been </w:t>
      </w:r>
      <w:r w:rsidR="00323C25">
        <w:t xml:space="preserve">reduced costs by placing </w:t>
      </w:r>
      <w:r w:rsidR="00CA68DB">
        <w:t xml:space="preserve">both trades online </w:t>
      </w:r>
      <w:r w:rsidR="00323C25">
        <w:t>with a</w:t>
      </w:r>
      <w:r w:rsidR="00CA68DB">
        <w:t xml:space="preserve"> request </w:t>
      </w:r>
      <w:r w:rsidR="0046058C">
        <w:t xml:space="preserve">for routing </w:t>
      </w:r>
      <w:r w:rsidR="00CA68DB">
        <w:t>to the NYSE where the chance of crossing with other public orders is greatest</w:t>
      </w:r>
      <w:r w:rsidR="00D7334E">
        <w:t xml:space="preserve">. </w:t>
      </w:r>
      <w:r w:rsidR="00CA68DB">
        <w:t xml:space="preserve">Had no market maker been necessary, </w:t>
      </w:r>
      <w:r w:rsidR="00D00796">
        <w:t xml:space="preserve">total costs would have been </w:t>
      </w:r>
      <w:r w:rsidR="00CA68DB">
        <w:t xml:space="preserve">only </w:t>
      </w:r>
      <w:r w:rsidR="00D00796">
        <w:t xml:space="preserve">the </w:t>
      </w:r>
      <w:r w:rsidR="00CA68DB">
        <w:t xml:space="preserve">$4.95 </w:t>
      </w:r>
      <w:r w:rsidR="00D00796">
        <w:t xml:space="preserve">Schwab </w:t>
      </w:r>
      <w:r w:rsidR="00CA68DB">
        <w:t xml:space="preserve">commission per </w:t>
      </w:r>
      <w:proofErr w:type="gramStart"/>
      <w:r w:rsidR="00CA68DB">
        <w:t>trade</w:t>
      </w:r>
      <w:r w:rsidR="0046058C">
        <w:t>.</w:t>
      </w:r>
      <w:proofErr w:type="gramEnd"/>
    </w:p>
    <w:p w:rsidR="00946907" w:rsidRDefault="00946907" w:rsidP="00173657">
      <w:pPr>
        <w:pStyle w:val="MCQList2"/>
        <w:tabs>
          <w:tab w:val="left" w:pos="3870"/>
          <w:tab w:val="left" w:pos="4230"/>
        </w:tabs>
        <w:spacing w:after="360"/>
        <w:ind w:left="1512" w:firstLine="0"/>
        <w:jc w:val="center"/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2631782</wp:posOffset>
            </wp:positionH>
            <wp:positionV relativeFrom="paragraph">
              <wp:posOffset>265820</wp:posOffset>
            </wp:positionV>
            <wp:extent cx="288290" cy="351790"/>
            <wp:effectExtent l="0" t="0" r="0" b="0"/>
            <wp:wrapNone/>
            <wp:docPr id="1" name="Picture 1" descr="C:\Users\mvaughan\Documents\MFL.tiff (1)\MFL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vaughan\Documents\MFL.tiff (1)\MFL.tif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C25" w:rsidRPr="003174D2" w:rsidRDefault="00C43E2B" w:rsidP="006165F0">
      <w:pPr>
        <w:pStyle w:val="MCQList1"/>
        <w:keepNext w:val="0"/>
        <w:tabs>
          <w:tab w:val="clear" w:pos="274"/>
          <w:tab w:val="clear" w:pos="446"/>
        </w:tabs>
        <w:spacing w:before="240"/>
        <w:ind w:left="1152" w:hanging="720"/>
        <w:rPr>
          <w:b/>
        </w:rPr>
      </w:pPr>
      <w:proofErr w:type="gramStart"/>
      <w:r>
        <w:t>P2-3</w:t>
      </w:r>
      <w:r w:rsidR="00323C25" w:rsidRPr="0065059D">
        <w:t>.</w:t>
      </w:r>
      <w:proofErr w:type="gramEnd"/>
      <w:r w:rsidR="00323C25" w:rsidRPr="0065059D">
        <w:tab/>
      </w:r>
      <w:r w:rsidRPr="006165F0">
        <w:rPr>
          <w:b/>
          <w:i/>
        </w:rPr>
        <w:t xml:space="preserve">Initial </w:t>
      </w:r>
      <w:r w:rsidR="006165F0">
        <w:rPr>
          <w:b/>
          <w:i/>
        </w:rPr>
        <w:t>p</w:t>
      </w:r>
      <w:r w:rsidRPr="006165F0">
        <w:rPr>
          <w:b/>
          <w:i/>
        </w:rPr>
        <w:t xml:space="preserve">ublic </w:t>
      </w:r>
      <w:r w:rsidR="006165F0">
        <w:rPr>
          <w:b/>
          <w:i/>
        </w:rPr>
        <w:t>o</w:t>
      </w:r>
      <w:r w:rsidRPr="006165F0">
        <w:rPr>
          <w:b/>
          <w:i/>
        </w:rPr>
        <w:t>fferings</w:t>
      </w:r>
      <w:r w:rsidR="006165F0" w:rsidRPr="006165F0">
        <w:rPr>
          <w:b/>
          <w:i/>
        </w:rPr>
        <w:t xml:space="preserve"> </w:t>
      </w:r>
      <w:r w:rsidR="006165F0">
        <w:rPr>
          <w:b/>
        </w:rPr>
        <w:t>(</w:t>
      </w:r>
      <w:r w:rsidR="00323C25">
        <w:rPr>
          <w:b/>
        </w:rPr>
        <w:t>LG</w:t>
      </w:r>
      <w:r w:rsidR="003F6EBA">
        <w:rPr>
          <w:b/>
        </w:rPr>
        <w:t xml:space="preserve"> </w:t>
      </w:r>
      <w:r w:rsidR="00323C25">
        <w:rPr>
          <w:b/>
        </w:rPr>
        <w:t>5</w:t>
      </w:r>
      <w:r w:rsidR="006165F0">
        <w:rPr>
          <w:b/>
        </w:rPr>
        <w:t>)</w:t>
      </w:r>
      <w:r w:rsidR="00323C25" w:rsidRPr="003174D2">
        <w:rPr>
          <w:b/>
        </w:rPr>
        <w:tab/>
      </w:r>
    </w:p>
    <w:p w:rsidR="00E0227C" w:rsidRDefault="00E0227C" w:rsidP="00D00796">
      <w:pPr>
        <w:pStyle w:val="MCQList2"/>
        <w:numPr>
          <w:ilvl w:val="0"/>
          <w:numId w:val="4"/>
        </w:numPr>
        <w:tabs>
          <w:tab w:val="left" w:pos="3330"/>
          <w:tab w:val="left" w:pos="3600"/>
        </w:tabs>
        <w:spacing w:after="120"/>
      </w:pPr>
      <w:r>
        <w:t xml:space="preserve">Total proceeds = (IPO offer price) </w:t>
      </w:r>
      <w:r w:rsidR="000C039E" w:rsidRPr="00D52ACD">
        <w:rPr>
          <w:rFonts w:ascii="Times New Roman" w:hAnsi="Times New Roman"/>
        </w:rPr>
        <w:sym w:font="Symbol" w:char="F0B4"/>
      </w:r>
      <w:r>
        <w:t xml:space="preserve"> (IPO shares i</w:t>
      </w:r>
      <w:r w:rsidR="00D00796">
        <w:t>ssued) = $11</w:t>
      </w:r>
      <w:r>
        <w:t xml:space="preserve"> </w:t>
      </w:r>
      <w:r w:rsidR="000C039E" w:rsidRPr="00D52ACD">
        <w:rPr>
          <w:rFonts w:ascii="Times New Roman" w:hAnsi="Times New Roman"/>
        </w:rPr>
        <w:sym w:font="Symbol" w:char="F0B4"/>
      </w:r>
      <w:r>
        <w:t xml:space="preserve"> </w:t>
      </w:r>
      <w:r w:rsidR="00D00796">
        <w:t xml:space="preserve">10.5 million = $115,500,000 </w:t>
      </w:r>
    </w:p>
    <w:p w:rsidR="00E0227C" w:rsidRDefault="00E0227C" w:rsidP="00E0227C">
      <w:pPr>
        <w:pStyle w:val="MCQList2"/>
        <w:numPr>
          <w:ilvl w:val="0"/>
          <w:numId w:val="4"/>
        </w:numPr>
        <w:tabs>
          <w:tab w:val="left" w:pos="3330"/>
          <w:tab w:val="left" w:pos="3600"/>
        </w:tabs>
        <w:spacing w:after="120"/>
      </w:pPr>
      <w:r>
        <w:t>Percentage underwriting discount = (Underwriting discount)</w:t>
      </w:r>
      <w:r w:rsidR="000C039E">
        <w:t xml:space="preserve"> </w:t>
      </w:r>
      <w:r>
        <w:t>/</w:t>
      </w:r>
      <w:r w:rsidR="000C039E">
        <w:t xml:space="preserve"> </w:t>
      </w:r>
      <w:r>
        <w:t>Offer price = $0.77/$11 = 7%</w:t>
      </w:r>
    </w:p>
    <w:p w:rsidR="00E0227C" w:rsidRDefault="00E0227C" w:rsidP="00D00796">
      <w:pPr>
        <w:pStyle w:val="MCQList2"/>
        <w:numPr>
          <w:ilvl w:val="0"/>
          <w:numId w:val="4"/>
        </w:numPr>
        <w:tabs>
          <w:tab w:val="left" w:pos="3330"/>
          <w:tab w:val="left" w:pos="3600"/>
        </w:tabs>
        <w:spacing w:after="120"/>
      </w:pPr>
      <w:r>
        <w:t xml:space="preserve">Underwriting fee ($) = ($0.77) </w:t>
      </w:r>
      <w:r w:rsidR="00033C5B" w:rsidRPr="00D52ACD">
        <w:rPr>
          <w:rFonts w:ascii="Times New Roman" w:hAnsi="Times New Roman"/>
        </w:rPr>
        <w:sym w:font="Symbol" w:char="F0B4"/>
      </w:r>
      <w:r>
        <w:t xml:space="preserve"> (10.</w:t>
      </w:r>
      <w:r w:rsidR="00D00796">
        <w:t>5 million shares) = $8,085,000.</w:t>
      </w:r>
      <w:r w:rsidR="00D00796">
        <w:br/>
        <w:t xml:space="preserve">Or, </w:t>
      </w:r>
      <w:r>
        <w:t xml:space="preserve">(Percentage underwriting discount) </w:t>
      </w:r>
      <w:r w:rsidR="00033C5B" w:rsidRPr="00D52ACD">
        <w:rPr>
          <w:rFonts w:ascii="Times New Roman" w:hAnsi="Times New Roman"/>
        </w:rPr>
        <w:sym w:font="Symbol" w:char="F0B4"/>
      </w:r>
      <w:r>
        <w:t xml:space="preserve"> (Total proceeds)</w:t>
      </w:r>
      <w:r w:rsidR="00D00796">
        <w:t xml:space="preserve"> = (7%) </w:t>
      </w:r>
      <w:r w:rsidR="00033C5B" w:rsidRPr="00D52ACD">
        <w:rPr>
          <w:rFonts w:ascii="Times New Roman" w:hAnsi="Times New Roman"/>
        </w:rPr>
        <w:sym w:font="Symbol" w:char="F0B4"/>
      </w:r>
      <w:r w:rsidR="00D00796">
        <w:t xml:space="preserve"> ($115,500,000) = $8,085,000</w:t>
      </w:r>
    </w:p>
    <w:p w:rsidR="00536BED" w:rsidRDefault="00127211" w:rsidP="00127211">
      <w:pPr>
        <w:pStyle w:val="MCQList2"/>
        <w:numPr>
          <w:ilvl w:val="0"/>
          <w:numId w:val="4"/>
        </w:numPr>
        <w:tabs>
          <w:tab w:val="left" w:pos="3330"/>
          <w:tab w:val="left" w:pos="3600"/>
        </w:tabs>
        <w:spacing w:after="120"/>
      </w:pPr>
      <w:r>
        <w:t xml:space="preserve">Net proceeds = Total proceeds – Underwriting fee = $115,500,000 </w:t>
      </w:r>
      <w:r w:rsidR="00033C5B">
        <w:t>–</w:t>
      </w:r>
      <w:r>
        <w:t xml:space="preserve"> $8,085,000 = $107,415,000</w:t>
      </w:r>
    </w:p>
    <w:p w:rsidR="00D00796" w:rsidRDefault="00D00796" w:rsidP="00127211">
      <w:pPr>
        <w:pStyle w:val="MCQList2"/>
        <w:numPr>
          <w:ilvl w:val="0"/>
          <w:numId w:val="4"/>
        </w:numPr>
        <w:tabs>
          <w:tab w:val="left" w:pos="3330"/>
          <w:tab w:val="left" w:pos="3600"/>
        </w:tabs>
        <w:spacing w:after="120"/>
      </w:pPr>
      <w:r>
        <w:t>IPO underpricing = [(Market price) – (Offer price)]</w:t>
      </w:r>
      <w:r w:rsidR="00033C5B">
        <w:t xml:space="preserve"> </w:t>
      </w:r>
      <w:r>
        <w:t>/</w:t>
      </w:r>
      <w:r w:rsidR="00033C5B">
        <w:t xml:space="preserve"> </w:t>
      </w:r>
      <w:r>
        <w:t xml:space="preserve">Offer price = [$13.41 </w:t>
      </w:r>
      <w:r w:rsidR="000C039E">
        <w:t>–</w:t>
      </w:r>
      <w:r>
        <w:t xml:space="preserve"> $11]</w:t>
      </w:r>
      <w:r w:rsidR="000C039E">
        <w:t xml:space="preserve"> </w:t>
      </w:r>
      <w:r>
        <w:t>/</w:t>
      </w:r>
      <w:r w:rsidR="000C039E">
        <w:t xml:space="preserve"> </w:t>
      </w:r>
      <w:r>
        <w:t>$11 = 21.9%</w:t>
      </w:r>
    </w:p>
    <w:p w:rsidR="00D00796" w:rsidRPr="00946907" w:rsidRDefault="00D00796" w:rsidP="00127211">
      <w:pPr>
        <w:pStyle w:val="MCQList2"/>
        <w:numPr>
          <w:ilvl w:val="0"/>
          <w:numId w:val="4"/>
        </w:numPr>
        <w:tabs>
          <w:tab w:val="left" w:pos="3330"/>
          <w:tab w:val="left" w:pos="3600"/>
        </w:tabs>
        <w:spacing w:after="120"/>
      </w:pPr>
      <w:r>
        <w:t xml:space="preserve">Market capitalization = (Market price of stock) </w:t>
      </w:r>
      <w:r w:rsidR="00033C5B" w:rsidRPr="00D52ACD">
        <w:rPr>
          <w:rFonts w:ascii="Times New Roman" w:hAnsi="Times New Roman"/>
        </w:rPr>
        <w:sym w:font="Symbol" w:char="F0B4"/>
      </w:r>
      <w:r>
        <w:t xml:space="preserve"> (Number of shares outstanding)</w:t>
      </w:r>
      <w:r>
        <w:br/>
        <w:t xml:space="preserve">= ($13.41) </w:t>
      </w:r>
      <w:r w:rsidR="000C039E" w:rsidRPr="00D52ACD">
        <w:rPr>
          <w:rFonts w:ascii="Times New Roman" w:hAnsi="Times New Roman"/>
        </w:rPr>
        <w:sym w:font="Symbol" w:char="F0B4"/>
      </w:r>
      <w:r>
        <w:t xml:space="preserve"> (85,489,470) = </w:t>
      </w:r>
      <w:r w:rsidRPr="00946907">
        <w:rPr>
          <w:b/>
        </w:rPr>
        <w:t>$1,146,413,79</w:t>
      </w:r>
      <w:r w:rsidR="00946907" w:rsidRPr="00946907">
        <w:rPr>
          <w:b/>
        </w:rPr>
        <w:t>2</w:t>
      </w:r>
      <w:r w:rsidRPr="00946907">
        <w:rPr>
          <w:b/>
        </w:rPr>
        <w:t>.70</w:t>
      </w:r>
      <w:r w:rsidR="00946907">
        <w:rPr>
          <w:b/>
        </w:rPr>
        <w:t xml:space="preserve"> </w:t>
      </w:r>
      <w:r w:rsidR="0090528E" w:rsidRPr="00946907">
        <w:rPr>
          <w:b/>
        </w:rPr>
        <w:t xml:space="preserve"> </w:t>
      </w:r>
    </w:p>
    <w:p w:rsidR="00894EF0" w:rsidRPr="003174D2" w:rsidRDefault="00D27B51" w:rsidP="006165F0">
      <w:pPr>
        <w:pStyle w:val="MCQList1"/>
        <w:keepNext w:val="0"/>
        <w:tabs>
          <w:tab w:val="clear" w:pos="274"/>
          <w:tab w:val="clear" w:pos="446"/>
        </w:tabs>
        <w:spacing w:before="240"/>
        <w:ind w:left="1152" w:hanging="720"/>
        <w:rPr>
          <w:b/>
        </w:rPr>
      </w:pPr>
      <w:proofErr w:type="gramStart"/>
      <w:r>
        <w:t>P2-4</w:t>
      </w:r>
      <w:r w:rsidR="006418AB">
        <w:t>.</w:t>
      </w:r>
      <w:proofErr w:type="gramEnd"/>
      <w:r w:rsidR="006418AB">
        <w:tab/>
      </w:r>
      <w:r w:rsidR="006165F0">
        <w:rPr>
          <w:b/>
          <w:i/>
        </w:rPr>
        <w:t>Initial p</w:t>
      </w:r>
      <w:r w:rsidR="00894EF0" w:rsidRPr="006165F0">
        <w:rPr>
          <w:b/>
          <w:i/>
        </w:rPr>
        <w:t xml:space="preserve">ublic </w:t>
      </w:r>
      <w:r w:rsidR="006165F0">
        <w:rPr>
          <w:b/>
          <w:i/>
        </w:rPr>
        <w:t>o</w:t>
      </w:r>
      <w:r w:rsidR="00894EF0" w:rsidRPr="006165F0">
        <w:rPr>
          <w:b/>
          <w:i/>
        </w:rPr>
        <w:t>fferings</w:t>
      </w:r>
      <w:r w:rsidR="006165F0">
        <w:rPr>
          <w:b/>
          <w:i/>
        </w:rPr>
        <w:t xml:space="preserve"> </w:t>
      </w:r>
      <w:r w:rsidR="006165F0">
        <w:rPr>
          <w:b/>
        </w:rPr>
        <w:t>(</w:t>
      </w:r>
      <w:r w:rsidR="00894EF0">
        <w:rPr>
          <w:b/>
        </w:rPr>
        <w:t>LG5</w:t>
      </w:r>
      <w:r w:rsidR="006165F0">
        <w:rPr>
          <w:b/>
        </w:rPr>
        <w:t>)</w:t>
      </w:r>
    </w:p>
    <w:p w:rsidR="00894EF0" w:rsidRDefault="00894EF0" w:rsidP="00443694">
      <w:pPr>
        <w:pStyle w:val="MCQList2"/>
        <w:keepNext w:val="0"/>
        <w:numPr>
          <w:ilvl w:val="0"/>
          <w:numId w:val="5"/>
        </w:numPr>
        <w:tabs>
          <w:tab w:val="left" w:pos="3330"/>
          <w:tab w:val="left" w:pos="3600"/>
        </w:tabs>
        <w:spacing w:after="60"/>
      </w:pPr>
      <w:r>
        <w:t xml:space="preserve">Total proceeds = (IPO offer price) </w:t>
      </w:r>
      <w:r w:rsidR="000C039E" w:rsidRPr="00D52ACD">
        <w:rPr>
          <w:rFonts w:ascii="Times New Roman" w:hAnsi="Times New Roman"/>
        </w:rPr>
        <w:sym w:font="Symbol" w:char="F0B4"/>
      </w:r>
      <w:r>
        <w:t xml:space="preserve"> (Number of IPO shares issued) = ($18) </w:t>
      </w:r>
      <w:r w:rsidR="000C039E" w:rsidRPr="00D52ACD">
        <w:rPr>
          <w:rFonts w:ascii="Times New Roman" w:hAnsi="Times New Roman"/>
        </w:rPr>
        <w:sym w:font="Symbol" w:char="F0B4"/>
      </w:r>
      <w:r>
        <w:t xml:space="preserve"> (8.25 million)</w:t>
      </w:r>
    </w:p>
    <w:p w:rsidR="00894EF0" w:rsidRDefault="00894EF0" w:rsidP="00443694">
      <w:pPr>
        <w:pStyle w:val="MCQList2"/>
        <w:keepNext w:val="0"/>
        <w:tabs>
          <w:tab w:val="left" w:pos="3870"/>
        </w:tabs>
        <w:spacing w:after="120"/>
        <w:ind w:left="1512" w:firstLine="0"/>
      </w:pPr>
      <w:r>
        <w:t>= $1</w:t>
      </w:r>
      <w:r w:rsidR="007B3336">
        <w:t>48,500,000</w:t>
      </w:r>
    </w:p>
    <w:p w:rsidR="007B3336" w:rsidRDefault="007B3336" w:rsidP="00443694">
      <w:pPr>
        <w:pStyle w:val="MCQList2"/>
        <w:keepNext w:val="0"/>
        <w:numPr>
          <w:ilvl w:val="0"/>
          <w:numId w:val="5"/>
        </w:numPr>
        <w:tabs>
          <w:tab w:val="left" w:pos="3330"/>
          <w:tab w:val="left" w:pos="3600"/>
        </w:tabs>
        <w:spacing w:after="120"/>
      </w:pPr>
      <w:r>
        <w:t xml:space="preserve">Underwriting fee ($) = (6.5%) </w:t>
      </w:r>
      <w:r w:rsidR="000C039E" w:rsidRPr="00D52ACD">
        <w:rPr>
          <w:rFonts w:ascii="Times New Roman" w:hAnsi="Times New Roman"/>
        </w:rPr>
        <w:sym w:font="Symbol" w:char="F0B4"/>
      </w:r>
      <w:r>
        <w:t xml:space="preserve"> ($148,500,000) = $9,652,500</w:t>
      </w:r>
    </w:p>
    <w:p w:rsidR="007B3336" w:rsidRDefault="007B3336" w:rsidP="00443694">
      <w:pPr>
        <w:pStyle w:val="MCQList2"/>
        <w:keepNext w:val="0"/>
        <w:numPr>
          <w:ilvl w:val="0"/>
          <w:numId w:val="5"/>
        </w:numPr>
        <w:tabs>
          <w:tab w:val="left" w:pos="3330"/>
          <w:tab w:val="left" w:pos="3600"/>
        </w:tabs>
        <w:spacing w:after="120"/>
      </w:pPr>
      <w:r>
        <w:t xml:space="preserve">Net proceeds = Total proceeds – Underwriting fee = $148,500,000 </w:t>
      </w:r>
      <w:r w:rsidR="00033C5B">
        <w:t>–</w:t>
      </w:r>
      <w:r>
        <w:t xml:space="preserve"> $9,652,500 = $1</w:t>
      </w:r>
      <w:r w:rsidR="00FF082F">
        <w:t>38</w:t>
      </w:r>
      <w:r>
        <w:t>,</w:t>
      </w:r>
      <w:r w:rsidR="00FF082F">
        <w:t>847</w:t>
      </w:r>
      <w:r>
        <w:t>,</w:t>
      </w:r>
      <w:r w:rsidR="00FF082F">
        <w:t>5</w:t>
      </w:r>
      <w:r>
        <w:t>00</w:t>
      </w:r>
    </w:p>
    <w:p w:rsidR="00FF082F" w:rsidRDefault="00FF082F" w:rsidP="00443694">
      <w:pPr>
        <w:pStyle w:val="MCQList2"/>
        <w:keepNext w:val="0"/>
        <w:numPr>
          <w:ilvl w:val="0"/>
          <w:numId w:val="5"/>
        </w:numPr>
        <w:tabs>
          <w:tab w:val="left" w:pos="3330"/>
          <w:tab w:val="left" w:pos="3600"/>
        </w:tabs>
        <w:spacing w:after="60"/>
      </w:pPr>
      <w:r>
        <w:t xml:space="preserve">Market capitalization = (Market price of stock) </w:t>
      </w:r>
      <w:r w:rsidR="00033C5B" w:rsidRPr="00D52ACD">
        <w:rPr>
          <w:rFonts w:ascii="Times New Roman" w:hAnsi="Times New Roman"/>
        </w:rPr>
        <w:sym w:font="Symbol" w:char="F0B4"/>
      </w:r>
      <w:r>
        <w:t xml:space="preserve"> (Number of shares outstanding)</w:t>
      </w:r>
      <w:r>
        <w:br/>
        <w:t xml:space="preserve">= ($16.10) </w:t>
      </w:r>
      <w:r w:rsidR="000C039E" w:rsidRPr="00D52ACD">
        <w:rPr>
          <w:rFonts w:ascii="Times New Roman" w:hAnsi="Times New Roman"/>
        </w:rPr>
        <w:sym w:font="Symbol" w:char="F0B4"/>
      </w:r>
      <w:r>
        <w:t xml:space="preserve"> (31,025,936) = $499,517,569.6</w:t>
      </w:r>
    </w:p>
    <w:p w:rsidR="00FF082F" w:rsidRDefault="00FF082F" w:rsidP="00443694">
      <w:pPr>
        <w:pStyle w:val="MCQList2"/>
        <w:keepNext w:val="0"/>
        <w:numPr>
          <w:ilvl w:val="0"/>
          <w:numId w:val="5"/>
        </w:numPr>
        <w:tabs>
          <w:tab w:val="left" w:pos="3330"/>
          <w:tab w:val="left" w:pos="3600"/>
        </w:tabs>
        <w:spacing w:after="120"/>
      </w:pPr>
      <w:r>
        <w:t>IPO underpricing = [(Market price) – (Offer price)]</w:t>
      </w:r>
      <w:r w:rsidR="00033C5B">
        <w:t xml:space="preserve"> </w:t>
      </w:r>
      <w:r>
        <w:t>/</w:t>
      </w:r>
      <w:r w:rsidR="00033C5B">
        <w:t xml:space="preserve"> </w:t>
      </w:r>
      <w:r>
        <w:t xml:space="preserve">Offer price = [$16.10 </w:t>
      </w:r>
      <w:r w:rsidR="00033C5B">
        <w:t xml:space="preserve">– </w:t>
      </w:r>
      <w:r>
        <w:t>$18]</w:t>
      </w:r>
      <w:r w:rsidR="000C039E">
        <w:t xml:space="preserve"> </w:t>
      </w:r>
      <w:r>
        <w:t>/</w:t>
      </w:r>
      <w:r w:rsidR="000C039E">
        <w:t xml:space="preserve"> </w:t>
      </w:r>
      <w:r>
        <w:t xml:space="preserve">$18 = </w:t>
      </w:r>
      <w:r w:rsidR="00033C5B">
        <w:br/>
      </w:r>
      <w:r w:rsidR="00946907">
        <w:t>–</w:t>
      </w:r>
      <w:r>
        <w:t>10.56%</w:t>
      </w:r>
    </w:p>
    <w:p w:rsidR="00FF082F" w:rsidRDefault="00E0227C" w:rsidP="00443694">
      <w:pPr>
        <w:pStyle w:val="MCQList2"/>
        <w:keepNext w:val="0"/>
        <w:numPr>
          <w:ilvl w:val="0"/>
          <w:numId w:val="5"/>
        </w:numPr>
        <w:tabs>
          <w:tab w:val="left" w:pos="3330"/>
          <w:tab w:val="left" w:pos="3600"/>
        </w:tabs>
        <w:spacing w:after="120"/>
      </w:pPr>
      <w:r>
        <w:t>N</w:t>
      </w:r>
      <w:r w:rsidR="00F771C5" w:rsidRPr="005E2E11">
        <w:t>egative u</w:t>
      </w:r>
      <w:r w:rsidR="00F771C5">
        <w:t>nderpricing indicates secondary-</w:t>
      </w:r>
      <w:r w:rsidR="00F771C5" w:rsidRPr="005E2E11">
        <w:t xml:space="preserve">market investors </w:t>
      </w:r>
      <w:r w:rsidR="0046058C">
        <w:t>are</w:t>
      </w:r>
      <w:r w:rsidR="00F771C5" w:rsidRPr="005E2E11">
        <w:t xml:space="preserve"> not willing to pay as much for </w:t>
      </w:r>
      <w:r w:rsidR="00F771C5">
        <w:t>existing</w:t>
      </w:r>
      <w:r w:rsidR="00F771C5" w:rsidRPr="005E2E11">
        <w:t xml:space="preserve"> shares as </w:t>
      </w:r>
      <w:r w:rsidR="00F771C5">
        <w:t>primary-</w:t>
      </w:r>
      <w:r w:rsidR="00F771C5" w:rsidRPr="005E2E11">
        <w:t>market investors w</w:t>
      </w:r>
      <w:r w:rsidR="00F771C5">
        <w:t>ere</w:t>
      </w:r>
      <w:r w:rsidR="00F771C5" w:rsidRPr="005E2E11">
        <w:t xml:space="preserve"> </w:t>
      </w:r>
      <w:r w:rsidR="00F771C5">
        <w:t>for new shares – a rare case of primary-</w:t>
      </w:r>
      <w:r w:rsidR="00F771C5" w:rsidRPr="005E2E11">
        <w:t xml:space="preserve">market investors </w:t>
      </w:r>
      <w:r w:rsidR="00D61A51">
        <w:t xml:space="preserve">losing money on </w:t>
      </w:r>
      <w:r w:rsidR="00F771C5" w:rsidRPr="005E2E11">
        <w:t>IPO shares</w:t>
      </w:r>
      <w:r w:rsidR="00F771C5">
        <w:t>.</w:t>
      </w:r>
    </w:p>
    <w:p w:rsidR="006418AB" w:rsidRDefault="006418AB" w:rsidP="006165F0">
      <w:pPr>
        <w:pStyle w:val="MCQList1"/>
        <w:keepNext w:val="0"/>
        <w:tabs>
          <w:tab w:val="clear" w:pos="274"/>
          <w:tab w:val="clear" w:pos="446"/>
        </w:tabs>
        <w:spacing w:before="240"/>
        <w:ind w:left="1152" w:hanging="720"/>
        <w:rPr>
          <w:b/>
        </w:rPr>
      </w:pPr>
      <w:proofErr w:type="gramStart"/>
      <w:r>
        <w:lastRenderedPageBreak/>
        <w:t>P2-</w:t>
      </w:r>
      <w:r w:rsidR="00F203C6">
        <w:t>5</w:t>
      </w:r>
      <w:r>
        <w:t>.</w:t>
      </w:r>
      <w:proofErr w:type="gramEnd"/>
      <w:r>
        <w:tab/>
      </w:r>
      <w:r w:rsidR="0076326E" w:rsidRPr="006165F0">
        <w:rPr>
          <w:b/>
          <w:i/>
        </w:rPr>
        <w:t xml:space="preserve">Ethics </w:t>
      </w:r>
      <w:r w:rsidR="006165F0">
        <w:rPr>
          <w:b/>
          <w:i/>
        </w:rPr>
        <w:t>p</w:t>
      </w:r>
      <w:r w:rsidRPr="006165F0">
        <w:rPr>
          <w:b/>
          <w:i/>
        </w:rPr>
        <w:t>roblem</w:t>
      </w:r>
      <w:r w:rsidR="006165F0">
        <w:rPr>
          <w:b/>
          <w:i/>
        </w:rPr>
        <w:t xml:space="preserve"> </w:t>
      </w:r>
      <w:r w:rsidR="006165F0">
        <w:rPr>
          <w:b/>
        </w:rPr>
        <w:t>(</w:t>
      </w:r>
      <w:r>
        <w:rPr>
          <w:b/>
        </w:rPr>
        <w:t xml:space="preserve">LG </w:t>
      </w:r>
      <w:r w:rsidR="0076326E">
        <w:rPr>
          <w:b/>
        </w:rPr>
        <w:t>4</w:t>
      </w:r>
      <w:r w:rsidR="006165F0">
        <w:rPr>
          <w:b/>
        </w:rPr>
        <w:t>)</w:t>
      </w:r>
    </w:p>
    <w:p w:rsidR="00FF15A6" w:rsidRDefault="000075DC" w:rsidP="0076326E">
      <w:pPr>
        <w:pStyle w:val="MCQList1-Wup"/>
        <w:keepNext w:val="0"/>
        <w:spacing w:before="0"/>
        <w:ind w:left="1152" w:firstLine="0"/>
      </w:pPr>
      <w:r>
        <w:t>An ethical issue arises because of access to material nonpublic</w:t>
      </w:r>
      <w:r w:rsidR="006D0A97">
        <w:t xml:space="preserve"> </w:t>
      </w:r>
      <w:r>
        <w:t xml:space="preserve">information and the </w:t>
      </w:r>
      <w:r w:rsidR="004B3180">
        <w:t xml:space="preserve">potential conflict between </w:t>
      </w:r>
      <w:r w:rsidR="008D557F">
        <w:t xml:space="preserve">an </w:t>
      </w:r>
      <w:r w:rsidR="007C19A7">
        <w:t>insider</w:t>
      </w:r>
      <w:r w:rsidR="008D557F">
        <w:t>’s</w:t>
      </w:r>
      <w:r w:rsidR="007C19A7">
        <w:t xml:space="preserve"> </w:t>
      </w:r>
      <w:r>
        <w:t xml:space="preserve">duty </w:t>
      </w:r>
      <w:r w:rsidR="004B3180">
        <w:t>to shareholders and concern for personal wealth</w:t>
      </w:r>
      <w:r w:rsidR="00D7334E">
        <w:t xml:space="preserve">. </w:t>
      </w:r>
      <w:r w:rsidR="000A169C">
        <w:t xml:space="preserve">For example, suppose an insider </w:t>
      </w:r>
      <w:r>
        <w:t>know</w:t>
      </w:r>
      <w:r w:rsidR="000A169C">
        <w:t>s</w:t>
      </w:r>
      <w:r>
        <w:t xml:space="preserve"> about a planned acquisition and </w:t>
      </w:r>
      <w:r w:rsidR="007C19A7">
        <w:t xml:space="preserve">quietly </w:t>
      </w:r>
      <w:r>
        <w:t>buy</w:t>
      </w:r>
      <w:r w:rsidR="00D61A51">
        <w:t>s</w:t>
      </w:r>
      <w:r>
        <w:t xml:space="preserve"> shares of the target firm</w:t>
      </w:r>
      <w:r w:rsidR="00946907">
        <w:t>—</w:t>
      </w:r>
      <w:r w:rsidR="008D557F">
        <w:t xml:space="preserve"> a move </w:t>
      </w:r>
      <w:r w:rsidR="000A169C">
        <w:t xml:space="preserve">likely to </w:t>
      </w:r>
      <w:r w:rsidR="007C19A7">
        <w:t xml:space="preserve">be lucrative </w:t>
      </w:r>
      <w:r w:rsidR="000A169C">
        <w:t>because, on average, the stock price of</w:t>
      </w:r>
      <w:r w:rsidR="007C19A7">
        <w:t xml:space="preserve"> </w:t>
      </w:r>
      <w:r w:rsidR="000A169C">
        <w:t>target</w:t>
      </w:r>
      <w:r w:rsidR="008D557F">
        <w:t>s</w:t>
      </w:r>
      <w:r w:rsidR="000A169C">
        <w:t xml:space="preserve"> ju</w:t>
      </w:r>
      <w:r w:rsidR="00CB669D">
        <w:t xml:space="preserve">mps on </w:t>
      </w:r>
      <w:r w:rsidR="008D557F">
        <w:t xml:space="preserve">news of an </w:t>
      </w:r>
      <w:r w:rsidR="00D61A51">
        <w:t>acquisition</w:t>
      </w:r>
      <w:r w:rsidR="00D7334E">
        <w:t xml:space="preserve">. </w:t>
      </w:r>
      <w:r w:rsidR="000A169C">
        <w:t xml:space="preserve">In this </w:t>
      </w:r>
      <w:r w:rsidR="008D557F">
        <w:t>example</w:t>
      </w:r>
      <w:r w:rsidR="000A169C">
        <w:t>, the insider put</w:t>
      </w:r>
      <w:r w:rsidR="008D557F">
        <w:t>s</w:t>
      </w:r>
      <w:r w:rsidR="000A169C">
        <w:t xml:space="preserve"> personal gain ahead of shareholder welfare</w:t>
      </w:r>
      <w:r w:rsidR="00D7334E">
        <w:t xml:space="preserve">. </w:t>
      </w:r>
      <w:r w:rsidR="008D557F">
        <w:t>O</w:t>
      </w:r>
      <w:r w:rsidR="00CB669D">
        <w:t>ther market participants</w:t>
      </w:r>
      <w:r w:rsidR="006D0A97">
        <w:t xml:space="preserve"> </w:t>
      </w:r>
      <w:r w:rsidR="008D557F">
        <w:t>might</w:t>
      </w:r>
      <w:r w:rsidR="006D0A97">
        <w:t xml:space="preserve"> observe the insider’s behavior and buy shares of the target firm as well</w:t>
      </w:r>
      <w:r w:rsidR="00946907">
        <w:t>—</w:t>
      </w:r>
      <w:r w:rsidR="006D0A97">
        <w:t xml:space="preserve"> thereby boosting </w:t>
      </w:r>
      <w:r w:rsidR="006302C0">
        <w:t xml:space="preserve">the target’s </w:t>
      </w:r>
      <w:r w:rsidR="006D0A97">
        <w:t>share price and raising</w:t>
      </w:r>
      <w:r w:rsidR="00CB669D">
        <w:t xml:space="preserve"> the </w:t>
      </w:r>
      <w:r w:rsidR="006D0A97">
        <w:t>cost of the acquisition</w:t>
      </w:r>
      <w:r w:rsidR="00D7334E">
        <w:t xml:space="preserve">. </w:t>
      </w:r>
    </w:p>
    <w:p w:rsidR="006418AB" w:rsidRDefault="006418AB" w:rsidP="004B3180">
      <w:pPr>
        <w:pStyle w:val="awTB01questionHead"/>
        <w:keepNext w:val="0"/>
        <w:numPr>
          <w:ilvl w:val="0"/>
          <w:numId w:val="1"/>
        </w:numPr>
        <w:spacing w:before="480" w:after="240"/>
        <w:ind w:left="432" w:hanging="432"/>
      </w:pPr>
      <w:r>
        <w:t>Case</w:t>
      </w:r>
    </w:p>
    <w:p w:rsidR="006418AB" w:rsidRPr="00033C5B" w:rsidRDefault="00D7334E" w:rsidP="004B3180">
      <w:pPr>
        <w:pStyle w:val="T1"/>
        <w:keepNext w:val="0"/>
        <w:ind w:left="432"/>
        <w:rPr>
          <w:rFonts w:ascii="Times New Roman" w:hAnsi="Times New Roman"/>
          <w:i/>
          <w:iCs/>
        </w:rPr>
      </w:pPr>
      <w:r w:rsidRPr="004815C9">
        <w:rPr>
          <w:i/>
          <w:iCs/>
        </w:rPr>
        <w:t xml:space="preserve">Case studies </w:t>
      </w:r>
      <w:r w:rsidRPr="0025785D">
        <w:rPr>
          <w:rFonts w:ascii="Times New Roman" w:hAnsi="Times New Roman"/>
          <w:i/>
          <w:iCs/>
          <w:szCs w:val="22"/>
        </w:rPr>
        <w:t xml:space="preserve">are available on </w:t>
      </w:r>
      <w:hyperlink r:id="rId11" w:tgtFrame="_blank" w:history="1">
        <w:r w:rsidRPr="0025785D">
          <w:rPr>
            <w:rFonts w:ascii="Times New Roman" w:hAnsi="Times New Roman"/>
            <w:bCs/>
            <w:color w:val="0000FF"/>
            <w:szCs w:val="22"/>
            <w:u w:val="single"/>
          </w:rPr>
          <w:t>www.pearson.com/mylab/finance</w:t>
        </w:r>
      </w:hyperlink>
      <w:r w:rsidRPr="0025785D">
        <w:rPr>
          <w:rFonts w:ascii="Times New Roman" w:hAnsi="Times New Roman"/>
          <w:i/>
          <w:iCs/>
          <w:szCs w:val="22"/>
        </w:rPr>
        <w:t>.</w:t>
      </w:r>
    </w:p>
    <w:p w:rsidR="006418AB" w:rsidRPr="008628BB" w:rsidRDefault="006418AB" w:rsidP="006B2C27">
      <w:pPr>
        <w:pStyle w:val="H2"/>
        <w:keepNext w:val="0"/>
        <w:spacing w:after="120"/>
        <w:ind w:left="432"/>
      </w:pPr>
      <w:r w:rsidRPr="008628BB">
        <w:t>Pros and Cons of Being Publicly Listed</w:t>
      </w:r>
    </w:p>
    <w:p w:rsidR="006418AB" w:rsidRPr="008628BB" w:rsidRDefault="006418AB" w:rsidP="006B2C27">
      <w:pPr>
        <w:pStyle w:val="MCQList1"/>
        <w:keepNext w:val="0"/>
        <w:spacing w:before="0" w:after="240"/>
        <w:ind w:left="878" w:hanging="446"/>
      </w:pPr>
      <w:r w:rsidRPr="008628BB">
        <w:tab/>
      </w:r>
      <w:proofErr w:type="gramStart"/>
      <w:r w:rsidRPr="008628BB">
        <w:t>a</w:t>
      </w:r>
      <w:proofErr w:type="gramEnd"/>
      <w:r w:rsidRPr="008628BB">
        <w:t>.</w:t>
      </w:r>
      <w:r w:rsidRPr="008628BB">
        <w:tab/>
      </w:r>
      <w:r w:rsidR="008628BB" w:rsidRPr="008628BB">
        <w:t xml:space="preserve">Going public will enable </w:t>
      </w:r>
      <w:proofErr w:type="spellStart"/>
      <w:r w:rsidR="008628BB" w:rsidRPr="008628BB">
        <w:t>Robo</w:t>
      </w:r>
      <w:proofErr w:type="spellEnd"/>
      <w:r w:rsidR="008628BB" w:rsidRPr="008628BB">
        <w:t xml:space="preserve">-Tech to raise </w:t>
      </w:r>
      <w:r w:rsidR="008B2FC8">
        <w:t xml:space="preserve">more </w:t>
      </w:r>
      <w:r w:rsidR="008628BB" w:rsidRPr="008628BB">
        <w:t xml:space="preserve">external capital </w:t>
      </w:r>
      <w:r w:rsidR="004815B6">
        <w:t>with</w:t>
      </w:r>
      <w:r w:rsidR="007C19A7">
        <w:t>out additional</w:t>
      </w:r>
      <w:r w:rsidR="004815B6">
        <w:t xml:space="preserve"> bankruptcy risk</w:t>
      </w:r>
      <w:r w:rsidR="00D7334E">
        <w:t xml:space="preserve">. </w:t>
      </w:r>
      <w:r w:rsidR="004815B6">
        <w:t>[Unlike creditors, s</w:t>
      </w:r>
      <w:r w:rsidRPr="008628BB">
        <w:t xml:space="preserve">hareholders </w:t>
      </w:r>
      <w:r w:rsidR="008628BB">
        <w:t xml:space="preserve">cannot take the </w:t>
      </w:r>
      <w:r w:rsidR="00C02AE5">
        <w:t>firm</w:t>
      </w:r>
      <w:r w:rsidR="008628BB">
        <w:t xml:space="preserve"> to bankruptcy court </w:t>
      </w:r>
      <w:r w:rsidR="004815B6">
        <w:t>if</w:t>
      </w:r>
      <w:r w:rsidR="008628BB">
        <w:t xml:space="preserve"> expected dividend</w:t>
      </w:r>
      <w:r w:rsidR="004815B6">
        <w:t>s are not paid.]</w:t>
      </w:r>
      <w:r w:rsidR="00946907">
        <w:t xml:space="preserve"> </w:t>
      </w:r>
      <w:r w:rsidRPr="008628BB">
        <w:t xml:space="preserve">Going public </w:t>
      </w:r>
      <w:r w:rsidR="00B506C3">
        <w:t xml:space="preserve">will also allow the company to continue operating after Mr. Bradley (the owner/CEO) retires or dies and, before then, insulate him from personal liability for </w:t>
      </w:r>
      <w:proofErr w:type="spellStart"/>
      <w:r w:rsidR="00B506C3">
        <w:t>Robo</w:t>
      </w:r>
      <w:proofErr w:type="spellEnd"/>
      <w:r w:rsidR="00B506C3">
        <w:t>-Tech debts</w:t>
      </w:r>
      <w:r w:rsidR="00D7334E">
        <w:t xml:space="preserve">. </w:t>
      </w:r>
      <w:r w:rsidR="00B506C3">
        <w:t>Finally, going public will give</w:t>
      </w:r>
      <w:r w:rsidR="007C19A7">
        <w:t xml:space="preserve"> </w:t>
      </w:r>
      <w:r w:rsidR="004815B6">
        <w:t>Mr. Bradley</w:t>
      </w:r>
      <w:r w:rsidR="007C19A7">
        <w:t xml:space="preserve"> </w:t>
      </w:r>
      <w:r w:rsidRPr="008628BB">
        <w:t xml:space="preserve">a chance </w:t>
      </w:r>
      <w:r w:rsidR="007C19A7">
        <w:t xml:space="preserve">to </w:t>
      </w:r>
      <w:r w:rsidR="00B506C3">
        <w:t xml:space="preserve">sell personal shares to </w:t>
      </w:r>
      <w:r w:rsidR="007C19A7">
        <w:t xml:space="preserve">cash in on </w:t>
      </w:r>
      <w:r w:rsidR="004815B6">
        <w:t xml:space="preserve">his work </w:t>
      </w:r>
      <w:r w:rsidR="008628BB">
        <w:t xml:space="preserve">building </w:t>
      </w:r>
      <w:r w:rsidR="008B2FC8">
        <w:t xml:space="preserve">the firm </w:t>
      </w:r>
      <w:r w:rsidR="00B506C3">
        <w:t xml:space="preserve">or diversify </w:t>
      </w:r>
      <w:r w:rsidR="00B06380">
        <w:t>his wealth</w:t>
      </w:r>
      <w:r w:rsidR="00D7334E">
        <w:t xml:space="preserve">. </w:t>
      </w:r>
      <w:r w:rsidR="00C02AE5">
        <w:t>[</w:t>
      </w:r>
      <w:r w:rsidR="004815B6">
        <w:t xml:space="preserve">Currently, his human capital and financial wealth are </w:t>
      </w:r>
      <w:r w:rsidR="00C02AE5">
        <w:t xml:space="preserve">both largely </w:t>
      </w:r>
      <w:r w:rsidR="004815B6">
        <w:t xml:space="preserve">tied up </w:t>
      </w:r>
      <w:proofErr w:type="spellStart"/>
      <w:r w:rsidR="00C02AE5">
        <w:t>Robo</w:t>
      </w:r>
      <w:proofErr w:type="spellEnd"/>
      <w:r w:rsidR="00C02AE5">
        <w:t>-Tech</w:t>
      </w:r>
      <w:r w:rsidR="00D7334E">
        <w:t xml:space="preserve">. </w:t>
      </w:r>
      <w:r w:rsidR="00C02AE5">
        <w:t xml:space="preserve">After the IPO, Mr. Bradley </w:t>
      </w:r>
      <w:r w:rsidR="008B2FC8">
        <w:t>could</w:t>
      </w:r>
      <w:r w:rsidR="00C02AE5">
        <w:t xml:space="preserve"> </w:t>
      </w:r>
      <w:r w:rsidR="008B2FC8">
        <w:t xml:space="preserve">sell some </w:t>
      </w:r>
      <w:proofErr w:type="spellStart"/>
      <w:r w:rsidR="008B2FC8">
        <w:t>Robo</w:t>
      </w:r>
      <w:proofErr w:type="spellEnd"/>
      <w:r w:rsidR="008B2FC8">
        <w:t xml:space="preserve">-Tech shares and </w:t>
      </w:r>
      <w:r w:rsidR="00C02AE5">
        <w:t xml:space="preserve">invest in the stocks and bonds </w:t>
      </w:r>
      <w:r w:rsidR="008B2FC8">
        <w:t>of</w:t>
      </w:r>
      <w:r w:rsidR="00C02AE5">
        <w:t xml:space="preserve"> companies in other industries.] </w:t>
      </w:r>
    </w:p>
    <w:p w:rsidR="006418AB" w:rsidRPr="007F1951" w:rsidRDefault="006418AB" w:rsidP="00C13446">
      <w:pPr>
        <w:pStyle w:val="MCQList1"/>
        <w:keepNext w:val="0"/>
        <w:spacing w:before="0" w:after="240"/>
        <w:ind w:left="882"/>
      </w:pPr>
      <w:r w:rsidRPr="007F1951">
        <w:tab/>
        <w:t>b.</w:t>
      </w:r>
      <w:r w:rsidRPr="007F1951">
        <w:tab/>
      </w:r>
      <w:r w:rsidR="00C13446">
        <w:t>The disadvantages of g</w:t>
      </w:r>
      <w:r w:rsidR="008D557F">
        <w:t xml:space="preserve">oing public </w:t>
      </w:r>
      <w:r w:rsidR="00C13446">
        <w:t>include</w:t>
      </w:r>
      <w:r w:rsidR="008B2FC8">
        <w:t xml:space="preserve"> (</w:t>
      </w:r>
      <w:proofErr w:type="spellStart"/>
      <w:r w:rsidR="008B2FC8">
        <w:t>i</w:t>
      </w:r>
      <w:proofErr w:type="spellEnd"/>
      <w:r w:rsidR="008B2FC8">
        <w:t>)</w:t>
      </w:r>
      <w:r w:rsidR="007F1951">
        <w:t xml:space="preserve"> </w:t>
      </w:r>
      <w:r w:rsidR="00C13446">
        <w:t xml:space="preserve">more burdensome SEC </w:t>
      </w:r>
      <w:r w:rsidR="007F1951">
        <w:t>reporting requirements</w:t>
      </w:r>
      <w:r w:rsidR="00C13446">
        <w:t>,</w:t>
      </w:r>
      <w:r w:rsidR="008B2FC8">
        <w:t xml:space="preserve"> (ii) p</w:t>
      </w:r>
      <w:r w:rsidR="003B55C2">
        <w:rPr>
          <w:spacing w:val="-4"/>
        </w:rPr>
        <w:t xml:space="preserve">otential dilution of Mr. Bradley’s </w:t>
      </w:r>
      <w:r w:rsidR="008D557F">
        <w:rPr>
          <w:spacing w:val="-4"/>
        </w:rPr>
        <w:t xml:space="preserve">managerial </w:t>
      </w:r>
      <w:r w:rsidR="003B55C2">
        <w:rPr>
          <w:spacing w:val="-4"/>
        </w:rPr>
        <w:t>control</w:t>
      </w:r>
      <w:r w:rsidR="008B2FC8">
        <w:rPr>
          <w:spacing w:val="-4"/>
        </w:rPr>
        <w:t xml:space="preserve"> (e.g., if</w:t>
      </w:r>
      <w:r w:rsidR="003B55C2">
        <w:rPr>
          <w:spacing w:val="-4"/>
        </w:rPr>
        <w:t xml:space="preserve"> </w:t>
      </w:r>
      <w:r w:rsidR="008B2FC8">
        <w:rPr>
          <w:spacing w:val="-4"/>
        </w:rPr>
        <w:t xml:space="preserve">the IPO left </w:t>
      </w:r>
      <w:r w:rsidR="003B55C2">
        <w:rPr>
          <w:spacing w:val="-4"/>
        </w:rPr>
        <w:t xml:space="preserve">him with </w:t>
      </w:r>
      <w:r w:rsidR="003D726A">
        <w:rPr>
          <w:spacing w:val="-4"/>
        </w:rPr>
        <w:t>fewer than 50</w:t>
      </w:r>
      <w:r w:rsidR="00946907">
        <w:rPr>
          <w:spacing w:val="-4"/>
        </w:rPr>
        <w:t>%</w:t>
      </w:r>
      <w:r w:rsidR="003B55C2">
        <w:rPr>
          <w:spacing w:val="-4"/>
        </w:rPr>
        <w:t xml:space="preserve"> of </w:t>
      </w:r>
      <w:proofErr w:type="spellStart"/>
      <w:r w:rsidR="008D557F">
        <w:rPr>
          <w:spacing w:val="-4"/>
        </w:rPr>
        <w:t>Robo</w:t>
      </w:r>
      <w:proofErr w:type="spellEnd"/>
      <w:r w:rsidR="008D557F">
        <w:rPr>
          <w:spacing w:val="-4"/>
        </w:rPr>
        <w:t>-Tech</w:t>
      </w:r>
      <w:r w:rsidR="003B55C2">
        <w:rPr>
          <w:spacing w:val="-4"/>
        </w:rPr>
        <w:t xml:space="preserve"> shares, a takeover artist could purchase </w:t>
      </w:r>
      <w:r w:rsidR="00C13446">
        <w:rPr>
          <w:spacing w:val="-4"/>
        </w:rPr>
        <w:t xml:space="preserve">controlling interest and </w:t>
      </w:r>
      <w:r w:rsidR="003B55C2">
        <w:rPr>
          <w:spacing w:val="-4"/>
        </w:rPr>
        <w:t>force his removal</w:t>
      </w:r>
      <w:r w:rsidR="008D557F">
        <w:rPr>
          <w:spacing w:val="-4"/>
        </w:rPr>
        <w:t xml:space="preserve"> as CEO</w:t>
      </w:r>
      <w:r w:rsidR="00C13446">
        <w:rPr>
          <w:spacing w:val="-4"/>
        </w:rPr>
        <w:t xml:space="preserve">), and finally (iii) </w:t>
      </w:r>
      <w:r w:rsidR="008B2FC8">
        <w:rPr>
          <w:spacing w:val="-4"/>
        </w:rPr>
        <w:t xml:space="preserve">double taxation </w:t>
      </w:r>
      <w:r w:rsidR="00C13446">
        <w:rPr>
          <w:spacing w:val="-4"/>
        </w:rPr>
        <w:t xml:space="preserve">of Mr. Bradley’s income (i.e., </w:t>
      </w:r>
      <w:proofErr w:type="spellStart"/>
      <w:r w:rsidR="00C13446">
        <w:rPr>
          <w:spacing w:val="-4"/>
        </w:rPr>
        <w:t>Robo</w:t>
      </w:r>
      <w:proofErr w:type="spellEnd"/>
      <w:r w:rsidR="00C13446">
        <w:rPr>
          <w:spacing w:val="-4"/>
        </w:rPr>
        <w:t xml:space="preserve">-Tech will pay </w:t>
      </w:r>
      <w:r w:rsidR="008B2FC8">
        <w:rPr>
          <w:spacing w:val="-4"/>
        </w:rPr>
        <w:t xml:space="preserve">corporate income tax on </w:t>
      </w:r>
      <w:r w:rsidR="003D726A">
        <w:rPr>
          <w:spacing w:val="-4"/>
        </w:rPr>
        <w:t xml:space="preserve">firm </w:t>
      </w:r>
      <w:r w:rsidR="00C13446">
        <w:rPr>
          <w:spacing w:val="-4"/>
        </w:rPr>
        <w:t xml:space="preserve">profits, </w:t>
      </w:r>
      <w:r w:rsidR="003D726A">
        <w:rPr>
          <w:spacing w:val="-4"/>
        </w:rPr>
        <w:t>and</w:t>
      </w:r>
      <w:r w:rsidR="00C13446">
        <w:rPr>
          <w:spacing w:val="-4"/>
        </w:rPr>
        <w:t xml:space="preserve"> Mr. Bradley will pay </w:t>
      </w:r>
      <w:r w:rsidR="008B2FC8">
        <w:rPr>
          <w:spacing w:val="-4"/>
        </w:rPr>
        <w:t>personal income tax on dividends/capital gains from company stock</w:t>
      </w:r>
      <w:r w:rsidR="00C13446">
        <w:rPr>
          <w:spacing w:val="-4"/>
        </w:rPr>
        <w:t>)</w:t>
      </w:r>
      <w:r w:rsidR="008B2FC8">
        <w:rPr>
          <w:spacing w:val="-4"/>
        </w:rPr>
        <w:t xml:space="preserve">. </w:t>
      </w:r>
    </w:p>
    <w:p w:rsidR="006418AB" w:rsidRPr="003B55C2" w:rsidRDefault="006418AB" w:rsidP="006B2C27">
      <w:pPr>
        <w:pStyle w:val="MCQList1"/>
        <w:keepNext w:val="0"/>
        <w:spacing w:before="0" w:after="240"/>
        <w:ind w:left="882"/>
      </w:pPr>
      <w:r w:rsidRPr="003B55C2">
        <w:tab/>
        <w:t>c.</w:t>
      </w:r>
      <w:r w:rsidRPr="003B55C2">
        <w:tab/>
      </w:r>
      <w:proofErr w:type="spellStart"/>
      <w:r w:rsidR="00FD4B5B">
        <w:t>Robo</w:t>
      </w:r>
      <w:proofErr w:type="spellEnd"/>
      <w:r w:rsidR="00FD4B5B">
        <w:t>-Tech</w:t>
      </w:r>
      <w:r w:rsidR="00591493">
        <w:t xml:space="preserve"> is probably too small to </w:t>
      </w:r>
      <w:r w:rsidR="00FD4B5B">
        <w:t xml:space="preserve">meet NYSE </w:t>
      </w:r>
      <w:r w:rsidR="00591493">
        <w:t>and NASDAQ listing requirements</w:t>
      </w:r>
      <w:r w:rsidR="00D7334E">
        <w:t xml:space="preserve">. </w:t>
      </w:r>
      <w:r w:rsidR="00591493">
        <w:t xml:space="preserve">The firm will probably trade over-the-counter or </w:t>
      </w:r>
      <w:r w:rsidR="00C13446">
        <w:t xml:space="preserve">on </w:t>
      </w:r>
      <w:r w:rsidR="00591493">
        <w:t xml:space="preserve">regional exchanges. </w:t>
      </w:r>
    </w:p>
    <w:p w:rsidR="006418AB" w:rsidRPr="00FD4B5B" w:rsidRDefault="006418AB" w:rsidP="006B2C27">
      <w:pPr>
        <w:pStyle w:val="MCQList1"/>
        <w:keepNext w:val="0"/>
        <w:spacing w:before="0" w:after="240"/>
        <w:ind w:left="882"/>
        <w:rPr>
          <w:spacing w:val="-4"/>
        </w:rPr>
      </w:pPr>
      <w:r w:rsidRPr="004B3180">
        <w:rPr>
          <w:highlight w:val="yellow"/>
        </w:rPr>
        <w:tab/>
      </w:r>
      <w:r w:rsidRPr="00FD4B5B">
        <w:rPr>
          <w:spacing w:val="-4"/>
        </w:rPr>
        <w:t>d.</w:t>
      </w:r>
      <w:r w:rsidRPr="00FD4B5B">
        <w:rPr>
          <w:spacing w:val="-4"/>
        </w:rPr>
        <w:tab/>
        <w:t xml:space="preserve">If the </w:t>
      </w:r>
      <w:r w:rsidR="00591493">
        <w:rPr>
          <w:spacing w:val="-4"/>
        </w:rPr>
        <w:t xml:space="preserve">capital </w:t>
      </w:r>
      <w:r w:rsidRPr="00FD4B5B">
        <w:rPr>
          <w:spacing w:val="-4"/>
        </w:rPr>
        <w:t xml:space="preserve">market is efficient, </w:t>
      </w:r>
      <w:r w:rsidR="00591493">
        <w:rPr>
          <w:spacing w:val="-4"/>
        </w:rPr>
        <w:t xml:space="preserve">the price of </w:t>
      </w:r>
      <w:proofErr w:type="spellStart"/>
      <w:r w:rsidR="00591493">
        <w:rPr>
          <w:spacing w:val="-4"/>
        </w:rPr>
        <w:t>Robo</w:t>
      </w:r>
      <w:proofErr w:type="spellEnd"/>
      <w:r w:rsidR="00591493">
        <w:rPr>
          <w:spacing w:val="-4"/>
        </w:rPr>
        <w:t>-Tech stock will provide</w:t>
      </w:r>
      <w:r w:rsidRPr="00FD4B5B">
        <w:rPr>
          <w:spacing w:val="-4"/>
        </w:rPr>
        <w:t xml:space="preserve"> an unbiased estimate of firm value</w:t>
      </w:r>
      <w:r w:rsidR="00D7334E">
        <w:rPr>
          <w:spacing w:val="-4"/>
        </w:rPr>
        <w:t xml:space="preserve">. </w:t>
      </w:r>
      <w:r w:rsidR="00DB7DCD">
        <w:rPr>
          <w:spacing w:val="-4"/>
        </w:rPr>
        <w:t xml:space="preserve">Efficiency also implies movements in </w:t>
      </w:r>
      <w:r w:rsidR="002547EC">
        <w:rPr>
          <w:spacing w:val="-4"/>
        </w:rPr>
        <w:t xml:space="preserve">stock price following </w:t>
      </w:r>
      <w:r w:rsidR="00DB7DCD">
        <w:rPr>
          <w:spacing w:val="-4"/>
        </w:rPr>
        <w:t>news about the company will also be unbiased</w:t>
      </w:r>
      <w:r w:rsidR="00D7334E">
        <w:rPr>
          <w:spacing w:val="-4"/>
        </w:rPr>
        <w:t xml:space="preserve">. </w:t>
      </w:r>
      <w:proofErr w:type="spellStart"/>
      <w:r w:rsidR="00235E41">
        <w:rPr>
          <w:spacing w:val="-4"/>
        </w:rPr>
        <w:t>Robo</w:t>
      </w:r>
      <w:proofErr w:type="spellEnd"/>
      <w:r w:rsidR="00235E41">
        <w:rPr>
          <w:spacing w:val="-4"/>
        </w:rPr>
        <w:t>-Tech will</w:t>
      </w:r>
      <w:r w:rsidR="002547EC">
        <w:rPr>
          <w:spacing w:val="-4"/>
        </w:rPr>
        <w:t>, therefore,</w:t>
      </w:r>
      <w:r w:rsidR="00235E41">
        <w:rPr>
          <w:spacing w:val="-4"/>
        </w:rPr>
        <w:t xml:space="preserve"> </w:t>
      </w:r>
      <w:r w:rsidR="00423DBF">
        <w:rPr>
          <w:spacing w:val="-4"/>
        </w:rPr>
        <w:t>have an</w:t>
      </w:r>
      <w:r w:rsidR="00B23D0B">
        <w:rPr>
          <w:spacing w:val="-4"/>
        </w:rPr>
        <w:t xml:space="preserve"> external</w:t>
      </w:r>
      <w:r w:rsidR="00423DBF">
        <w:rPr>
          <w:spacing w:val="-4"/>
        </w:rPr>
        <w:t xml:space="preserve"> </w:t>
      </w:r>
      <w:r w:rsidR="00235E41">
        <w:rPr>
          <w:spacing w:val="-4"/>
        </w:rPr>
        <w:t xml:space="preserve">real-time </w:t>
      </w:r>
      <w:r w:rsidR="00423DBF">
        <w:rPr>
          <w:spacing w:val="-4"/>
        </w:rPr>
        <w:t>“report card” on management</w:t>
      </w:r>
      <w:r w:rsidR="00DB7DCD">
        <w:rPr>
          <w:spacing w:val="-4"/>
        </w:rPr>
        <w:t xml:space="preserve"> actions</w:t>
      </w:r>
      <w:r w:rsidR="00D7334E">
        <w:rPr>
          <w:spacing w:val="-4"/>
        </w:rPr>
        <w:t xml:space="preserve">. </w:t>
      </w:r>
      <w:r w:rsidR="00DB7DCD">
        <w:rPr>
          <w:spacing w:val="-4"/>
        </w:rPr>
        <w:t xml:space="preserve">For example, suppose extensive </w:t>
      </w:r>
      <w:r w:rsidR="00423DBF">
        <w:rPr>
          <w:spacing w:val="-4"/>
        </w:rPr>
        <w:t>research led</w:t>
      </w:r>
      <w:r w:rsidR="00DB7DCD">
        <w:rPr>
          <w:spacing w:val="-4"/>
        </w:rPr>
        <w:t xml:space="preserve"> management to believe </w:t>
      </w:r>
      <w:r w:rsidR="002547EC">
        <w:rPr>
          <w:spacing w:val="-4"/>
        </w:rPr>
        <w:t xml:space="preserve">moving several U.S. plants to Latin America would </w:t>
      </w:r>
      <w:r w:rsidR="00C56B7C">
        <w:rPr>
          <w:spacing w:val="-4"/>
        </w:rPr>
        <w:t>create value for shareholders</w:t>
      </w:r>
      <w:r w:rsidR="00D7334E">
        <w:rPr>
          <w:spacing w:val="-4"/>
        </w:rPr>
        <w:t xml:space="preserve">. </w:t>
      </w:r>
      <w:r w:rsidR="002547EC">
        <w:rPr>
          <w:spacing w:val="-4"/>
        </w:rPr>
        <w:t>If firm stock dipped on the announcement, other things equal, management would know the market did not share their enthusiasm</w:t>
      </w:r>
      <w:r w:rsidR="00D7334E">
        <w:rPr>
          <w:spacing w:val="-4"/>
        </w:rPr>
        <w:t xml:space="preserve">. </w:t>
      </w:r>
    </w:p>
    <w:p w:rsidR="006418AB" w:rsidRPr="00423DBF" w:rsidRDefault="006418AB" w:rsidP="00443694">
      <w:pPr>
        <w:pStyle w:val="awTB01questionHead"/>
        <w:numPr>
          <w:ilvl w:val="0"/>
          <w:numId w:val="1"/>
        </w:numPr>
        <w:spacing w:before="480" w:after="240"/>
        <w:ind w:left="432" w:hanging="432"/>
      </w:pPr>
      <w:r w:rsidRPr="00423DBF">
        <w:lastRenderedPageBreak/>
        <w:t>Spreadsheet Exercise</w:t>
      </w:r>
      <w:r w:rsidR="000F1842">
        <w:t xml:space="preserve"> </w:t>
      </w:r>
    </w:p>
    <w:p w:rsidR="000B3A76" w:rsidRPr="00173657" w:rsidRDefault="00D7334E" w:rsidP="00443694">
      <w:pPr>
        <w:pStyle w:val="T1"/>
        <w:ind w:left="432"/>
        <w:rPr>
          <w:rFonts w:ascii="Times New Roman" w:hAnsi="Times New Roman"/>
          <w:color w:val="000000" w:themeColor="text1"/>
          <w:szCs w:val="22"/>
        </w:rPr>
      </w:pPr>
      <w:r>
        <w:rPr>
          <w:rFonts w:cs="Arial"/>
          <w:szCs w:val="22"/>
        </w:rPr>
        <w:t>A</w:t>
      </w:r>
      <w:r w:rsidR="000B3A76">
        <w:rPr>
          <w:rFonts w:cs="Arial"/>
          <w:szCs w:val="22"/>
        </w:rPr>
        <w:t>nswer</w:t>
      </w:r>
      <w:r>
        <w:rPr>
          <w:rFonts w:cs="Arial"/>
          <w:szCs w:val="22"/>
        </w:rPr>
        <w:t>s</w:t>
      </w:r>
      <w:r w:rsidR="000B3A76">
        <w:rPr>
          <w:rFonts w:cs="Arial"/>
          <w:szCs w:val="22"/>
        </w:rPr>
        <w:t xml:space="preserve"> to Chapter 2’s </w:t>
      </w:r>
      <w:proofErr w:type="spellStart"/>
      <w:r w:rsidR="000B3A76">
        <w:rPr>
          <w:rFonts w:cs="Arial"/>
          <w:szCs w:val="22"/>
        </w:rPr>
        <w:t>MuleSoft</w:t>
      </w:r>
      <w:proofErr w:type="spellEnd"/>
      <w:r w:rsidR="000B3A76">
        <w:rPr>
          <w:rFonts w:cs="Arial"/>
          <w:szCs w:val="22"/>
        </w:rPr>
        <w:t xml:space="preserve"> spreadsheet problem </w:t>
      </w:r>
      <w:r w:rsidR="00A20CCD" w:rsidRPr="00A20CCD">
        <w:rPr>
          <w:rFonts w:cs="Arial"/>
          <w:szCs w:val="22"/>
        </w:rPr>
        <w:t>are available on </w:t>
      </w:r>
      <w:hyperlink r:id="rId12" w:history="1">
        <w:r w:rsidR="00A20CCD" w:rsidRPr="00A20CCD">
          <w:rPr>
            <w:rStyle w:val="Hyperlink"/>
            <w:rFonts w:cs="Arial"/>
            <w:szCs w:val="22"/>
          </w:rPr>
          <w:t>www.pearson.com/mylab/finance</w:t>
        </w:r>
      </w:hyperlink>
      <w:r w:rsidR="00A20CCD" w:rsidRPr="00A20CCD">
        <w:rPr>
          <w:rFonts w:cs="Arial"/>
          <w:szCs w:val="22"/>
        </w:rPr>
        <w:t xml:space="preserve">. </w:t>
      </w:r>
    </w:p>
    <w:p w:rsidR="006418AB" w:rsidRPr="00564B93" w:rsidRDefault="006418AB" w:rsidP="00443694">
      <w:pPr>
        <w:pStyle w:val="awTB01questionHead"/>
        <w:numPr>
          <w:ilvl w:val="0"/>
          <w:numId w:val="1"/>
        </w:numPr>
        <w:spacing w:before="480" w:after="240"/>
        <w:ind w:left="432" w:hanging="432"/>
      </w:pPr>
      <w:r w:rsidRPr="00564B93">
        <w:t>Group Exercise</w:t>
      </w:r>
    </w:p>
    <w:p w:rsidR="00FF15A6" w:rsidRDefault="006418AB" w:rsidP="004B3180">
      <w:pPr>
        <w:pStyle w:val="T1"/>
        <w:keepNext w:val="0"/>
        <w:ind w:left="432"/>
        <w:rPr>
          <w:i/>
          <w:iCs/>
        </w:rPr>
      </w:pPr>
      <w:r w:rsidRPr="00564B93">
        <w:rPr>
          <w:i/>
          <w:iCs/>
        </w:rPr>
        <w:t xml:space="preserve">There is no group exercise for Chapter 2. </w:t>
      </w:r>
      <w:bookmarkStart w:id="0" w:name="_GoBack"/>
      <w:bookmarkEnd w:id="0"/>
    </w:p>
    <w:p w:rsidR="003A0609" w:rsidRDefault="003A0609" w:rsidP="00443694">
      <w:pPr>
        <w:pStyle w:val="MCQList1"/>
        <w:keepNext w:val="0"/>
        <w:tabs>
          <w:tab w:val="clear" w:pos="274"/>
          <w:tab w:val="clear" w:pos="446"/>
        </w:tabs>
        <w:spacing w:before="0" w:after="120"/>
        <w:ind w:left="792" w:firstLine="0"/>
      </w:pPr>
    </w:p>
    <w:sectPr w:rsidR="003A0609" w:rsidSect="0044369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008" w:bottom="1008" w:left="1080" w:header="1008" w:footer="1008" w:gutter="0"/>
      <w:pgNumType w:start="19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A56" w:rsidRDefault="000A1A56" w:rsidP="0020744C">
      <w:r>
        <w:separator/>
      </w:r>
    </w:p>
  </w:endnote>
  <w:endnote w:type="continuationSeparator" w:id="0">
    <w:p w:rsidR="000A1A56" w:rsidRDefault="000A1A56" w:rsidP="0020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309" w:rsidRDefault="00C72309">
    <w:pPr>
      <w:pStyle w:val="Footer"/>
      <w:pBdr>
        <w:top w:val="single" w:sz="4" w:space="1" w:color="auto"/>
      </w:pBdr>
      <w:spacing w:before="360"/>
      <w:jc w:val="center"/>
      <w:rPr>
        <w:rFonts w:ascii="Times" w:hAnsi="Times"/>
        <w:sz w:val="18"/>
      </w:rPr>
    </w:pPr>
    <w:r>
      <w:rPr>
        <w:rFonts w:ascii="Times" w:hAnsi="Times"/>
        <w:sz w:val="18"/>
      </w:rPr>
      <w:t>© 2015 Pearson Education, Inc.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309" w:rsidRDefault="00D7334E">
    <w:pPr>
      <w:pStyle w:val="Footer"/>
      <w:pBdr>
        <w:top w:val="single" w:sz="4" w:space="1" w:color="auto"/>
      </w:pBdr>
      <w:spacing w:before="360"/>
      <w:jc w:val="center"/>
      <w:rPr>
        <w:rFonts w:ascii="Times" w:hAnsi="Times"/>
        <w:sz w:val="18"/>
      </w:rPr>
    </w:pPr>
    <w:r>
      <w:rPr>
        <w:rFonts w:ascii="Times" w:hAnsi="Times"/>
        <w:sz w:val="18"/>
      </w:rPr>
      <w:t>© 2019</w:t>
    </w:r>
    <w:r w:rsidR="00C72309">
      <w:rPr>
        <w:rFonts w:ascii="Times" w:hAnsi="Times"/>
        <w:sz w:val="18"/>
      </w:rPr>
      <w:t xml:space="preserve"> Pearson Education, Inc.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309" w:rsidRDefault="00021FB7">
    <w:pPr>
      <w:pStyle w:val="Footer"/>
      <w:pBdr>
        <w:top w:val="single" w:sz="4" w:space="1" w:color="auto"/>
      </w:pBdr>
      <w:spacing w:before="360"/>
      <w:jc w:val="center"/>
      <w:rPr>
        <w:rFonts w:ascii="Times" w:hAnsi="Times"/>
        <w:sz w:val="18"/>
      </w:rPr>
    </w:pPr>
    <w:r>
      <w:rPr>
        <w:rFonts w:ascii="Times" w:hAnsi="Times"/>
        <w:sz w:val="18"/>
      </w:rPr>
      <w:t>© 2019</w:t>
    </w:r>
    <w:r w:rsidR="00C72309">
      <w:rPr>
        <w:rFonts w:ascii="Times" w:hAnsi="Times"/>
        <w:sz w:val="18"/>
      </w:rPr>
      <w:t xml:space="preserve"> Pearson Education, Inc.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A56" w:rsidRDefault="000A1A56" w:rsidP="0020744C">
      <w:r>
        <w:separator/>
      </w:r>
    </w:p>
  </w:footnote>
  <w:footnote w:type="continuationSeparator" w:id="0">
    <w:p w:rsidR="000A1A56" w:rsidRDefault="000A1A56" w:rsidP="00207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309" w:rsidRDefault="00C72309">
    <w:pPr>
      <w:pStyle w:val="Verso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20CCD">
      <w:rPr>
        <w:rStyle w:val="PageNumber"/>
        <w:noProof/>
      </w:rPr>
      <w:t>28</w:t>
    </w:r>
    <w:r>
      <w:rPr>
        <w:rStyle w:val="PageNumber"/>
      </w:rPr>
      <w:fldChar w:fldCharType="end"/>
    </w:r>
    <w:r>
      <w:t> </w:t>
    </w:r>
    <w:r>
      <w:t> </w:t>
    </w:r>
    <w:proofErr w:type="spellStart"/>
    <w:r w:rsidR="00D26DA6">
      <w:t>Zutter</w:t>
    </w:r>
    <w:proofErr w:type="spellEnd"/>
    <w:r w:rsidR="00D26DA6">
      <w:t>/</w:t>
    </w:r>
    <w:proofErr w:type="spellStart"/>
    <w:r w:rsidR="00D26DA6">
      <w:t>Gitman</w:t>
    </w:r>
    <w:proofErr w:type="spellEnd"/>
    <w:r>
      <w:t> </w:t>
    </w:r>
    <w:r>
      <w:t>•</w:t>
    </w:r>
    <w:r>
      <w:rPr>
        <w:i/>
        <w:iCs/>
      </w:rPr>
      <w:t> </w:t>
    </w:r>
    <w:r>
      <w:rPr>
        <w:i/>
        <w:iCs/>
      </w:rPr>
      <w:t>Principles of Managerial Finance</w:t>
    </w:r>
    <w:r w:rsidR="00460ED5">
      <w:rPr>
        <w:i/>
        <w:iCs/>
      </w:rPr>
      <w:t xml:space="preserve"> Brief</w:t>
    </w:r>
    <w:r>
      <w:rPr>
        <w:i/>
        <w:iCs/>
      </w:rPr>
      <w:t>,</w:t>
    </w:r>
    <w:r>
      <w:t xml:space="preserve"> </w:t>
    </w:r>
    <w:r w:rsidR="00443694">
      <w:t>Eighth</w:t>
    </w:r>
    <w:r>
      <w:rPr>
        <w:rFonts w:ascii="Arial" w:hAnsi="Arial" w:cs="Arial"/>
        <w:color w:val="000000"/>
      </w:rPr>
      <w:t xml:space="preserve"> </w:t>
    </w:r>
    <w:r>
      <w:t>Edition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309" w:rsidRDefault="00C72309">
    <w:pPr>
      <w:pStyle w:val="RectoHeader"/>
    </w:pPr>
    <w:r>
      <w:t>Chapter 2</w:t>
    </w:r>
    <w:r>
      <w:t> </w:t>
    </w:r>
    <w:r>
      <w:t>The Financial Market Environment</w:t>
    </w:r>
    <w:r>
      <w:t> </w:t>
    </w:r>
    <w:r>
      <w:t> </w:t>
    </w:r>
    <w:r w:rsidR="003058EF">
      <w:rPr>
        <w:noProof w:val="0"/>
      </w:rPr>
      <w:fldChar w:fldCharType="begin"/>
    </w:r>
    <w:r w:rsidR="003058EF">
      <w:instrText xml:space="preserve"> PAGE   \* MERGEFORMAT </w:instrText>
    </w:r>
    <w:r w:rsidR="003058EF">
      <w:rPr>
        <w:noProof w:val="0"/>
      </w:rPr>
      <w:fldChar w:fldCharType="separate"/>
    </w:r>
    <w:r w:rsidR="00A20CCD">
      <w:t>27</w:t>
    </w:r>
    <w:r w:rsidR="003058EF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DA6" w:rsidRDefault="00D26D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5174F"/>
    <w:multiLevelType w:val="hybridMultilevel"/>
    <w:tmpl w:val="A412B8BC"/>
    <w:lvl w:ilvl="0" w:tplc="ED0C9804">
      <w:start w:val="1"/>
      <w:numFmt w:val="lowerLetter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>
    <w:nsid w:val="355D6734"/>
    <w:multiLevelType w:val="hybridMultilevel"/>
    <w:tmpl w:val="1C66B752"/>
    <w:lvl w:ilvl="0" w:tplc="ED0C9804">
      <w:start w:val="4"/>
      <w:numFmt w:val="lowerLetter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B6152"/>
    <w:multiLevelType w:val="hybridMultilevel"/>
    <w:tmpl w:val="60BC7D92"/>
    <w:lvl w:ilvl="0" w:tplc="FE40A23C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3E6E4581"/>
    <w:multiLevelType w:val="hybridMultilevel"/>
    <w:tmpl w:val="DAEAC8AA"/>
    <w:lvl w:ilvl="0" w:tplc="06D21526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5C686D"/>
    <w:multiLevelType w:val="hybridMultilevel"/>
    <w:tmpl w:val="FF5E7812"/>
    <w:lvl w:ilvl="0" w:tplc="D67CC9B0">
      <w:start w:val="1"/>
      <w:numFmt w:val="lowerLetter"/>
      <w:lvlText w:val="%1."/>
      <w:lvlJc w:val="left"/>
      <w:pPr>
        <w:ind w:left="15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>
    <w:nsid w:val="7EC51D7D"/>
    <w:multiLevelType w:val="hybridMultilevel"/>
    <w:tmpl w:val="78024098"/>
    <w:lvl w:ilvl="0" w:tplc="9BB4B3C0">
      <w:start w:val="1"/>
      <w:numFmt w:val="lowerLetter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AB"/>
    <w:rsid w:val="000075DC"/>
    <w:rsid w:val="0001392D"/>
    <w:rsid w:val="00015199"/>
    <w:rsid w:val="00020E51"/>
    <w:rsid w:val="00021FB7"/>
    <w:rsid w:val="00024178"/>
    <w:rsid w:val="00031A55"/>
    <w:rsid w:val="00033C5B"/>
    <w:rsid w:val="00054A5A"/>
    <w:rsid w:val="00065091"/>
    <w:rsid w:val="00066F6B"/>
    <w:rsid w:val="000830F1"/>
    <w:rsid w:val="00083A13"/>
    <w:rsid w:val="000939FE"/>
    <w:rsid w:val="000A169C"/>
    <w:rsid w:val="000A1A56"/>
    <w:rsid w:val="000B3A76"/>
    <w:rsid w:val="000C039E"/>
    <w:rsid w:val="000C161E"/>
    <w:rsid w:val="000F0A40"/>
    <w:rsid w:val="000F1842"/>
    <w:rsid w:val="00105B0D"/>
    <w:rsid w:val="001111A0"/>
    <w:rsid w:val="00127211"/>
    <w:rsid w:val="001368E4"/>
    <w:rsid w:val="00142487"/>
    <w:rsid w:val="0014614E"/>
    <w:rsid w:val="001717A1"/>
    <w:rsid w:val="00173657"/>
    <w:rsid w:val="00174E72"/>
    <w:rsid w:val="0018246E"/>
    <w:rsid w:val="00186843"/>
    <w:rsid w:val="001A28DC"/>
    <w:rsid w:val="001A4D40"/>
    <w:rsid w:val="001B7593"/>
    <w:rsid w:val="001F7486"/>
    <w:rsid w:val="002001CE"/>
    <w:rsid w:val="00201F39"/>
    <w:rsid w:val="0020744C"/>
    <w:rsid w:val="00235E41"/>
    <w:rsid w:val="002547EC"/>
    <w:rsid w:val="00265F3F"/>
    <w:rsid w:val="00267E06"/>
    <w:rsid w:val="00275264"/>
    <w:rsid w:val="0028794F"/>
    <w:rsid w:val="002B23D8"/>
    <w:rsid w:val="002B26B9"/>
    <w:rsid w:val="002B3AD8"/>
    <w:rsid w:val="002C112D"/>
    <w:rsid w:val="002C2270"/>
    <w:rsid w:val="002C4341"/>
    <w:rsid w:val="002C466A"/>
    <w:rsid w:val="002C662E"/>
    <w:rsid w:val="002D3F80"/>
    <w:rsid w:val="002D68EE"/>
    <w:rsid w:val="002D739C"/>
    <w:rsid w:val="002E1131"/>
    <w:rsid w:val="002E13E6"/>
    <w:rsid w:val="00304EA5"/>
    <w:rsid w:val="003058EF"/>
    <w:rsid w:val="003107AA"/>
    <w:rsid w:val="003174D2"/>
    <w:rsid w:val="00323C25"/>
    <w:rsid w:val="0033107B"/>
    <w:rsid w:val="00331DE9"/>
    <w:rsid w:val="0033667A"/>
    <w:rsid w:val="00340A21"/>
    <w:rsid w:val="003421B6"/>
    <w:rsid w:val="003440D4"/>
    <w:rsid w:val="003506AB"/>
    <w:rsid w:val="00355AEE"/>
    <w:rsid w:val="00365EF0"/>
    <w:rsid w:val="0037548F"/>
    <w:rsid w:val="00382F55"/>
    <w:rsid w:val="00394277"/>
    <w:rsid w:val="00395537"/>
    <w:rsid w:val="003A0609"/>
    <w:rsid w:val="003A3BC6"/>
    <w:rsid w:val="003B291C"/>
    <w:rsid w:val="003B55C2"/>
    <w:rsid w:val="003D160F"/>
    <w:rsid w:val="003D1666"/>
    <w:rsid w:val="003D3974"/>
    <w:rsid w:val="003D726A"/>
    <w:rsid w:val="003F1983"/>
    <w:rsid w:val="003F6EBA"/>
    <w:rsid w:val="00400A28"/>
    <w:rsid w:val="004101EA"/>
    <w:rsid w:val="00413813"/>
    <w:rsid w:val="004203D1"/>
    <w:rsid w:val="00423DBF"/>
    <w:rsid w:val="00430805"/>
    <w:rsid w:val="00443694"/>
    <w:rsid w:val="0046058C"/>
    <w:rsid w:val="00460E5C"/>
    <w:rsid w:val="00460ED5"/>
    <w:rsid w:val="00461C51"/>
    <w:rsid w:val="004815B6"/>
    <w:rsid w:val="004A0447"/>
    <w:rsid w:val="004A2F6F"/>
    <w:rsid w:val="004B3180"/>
    <w:rsid w:val="004C3B1C"/>
    <w:rsid w:val="004C5EF9"/>
    <w:rsid w:val="004D1A42"/>
    <w:rsid w:val="004D42E3"/>
    <w:rsid w:val="004D4B8C"/>
    <w:rsid w:val="004E449B"/>
    <w:rsid w:val="00503098"/>
    <w:rsid w:val="00517A58"/>
    <w:rsid w:val="005247BF"/>
    <w:rsid w:val="00531692"/>
    <w:rsid w:val="00532E28"/>
    <w:rsid w:val="00536BED"/>
    <w:rsid w:val="00542E5C"/>
    <w:rsid w:val="00555151"/>
    <w:rsid w:val="00557CF0"/>
    <w:rsid w:val="005601B7"/>
    <w:rsid w:val="00564B93"/>
    <w:rsid w:val="00565C41"/>
    <w:rsid w:val="00570725"/>
    <w:rsid w:val="005750BB"/>
    <w:rsid w:val="00583041"/>
    <w:rsid w:val="00583A40"/>
    <w:rsid w:val="005842AE"/>
    <w:rsid w:val="00585B28"/>
    <w:rsid w:val="00591493"/>
    <w:rsid w:val="005A7FC2"/>
    <w:rsid w:val="005C2E97"/>
    <w:rsid w:val="005C65C5"/>
    <w:rsid w:val="005E3F96"/>
    <w:rsid w:val="005F2689"/>
    <w:rsid w:val="006165F0"/>
    <w:rsid w:val="00617C0F"/>
    <w:rsid w:val="00620357"/>
    <w:rsid w:val="0062525C"/>
    <w:rsid w:val="006302C0"/>
    <w:rsid w:val="00634960"/>
    <w:rsid w:val="006418AB"/>
    <w:rsid w:val="00643CE2"/>
    <w:rsid w:val="006451C2"/>
    <w:rsid w:val="0065059D"/>
    <w:rsid w:val="00683312"/>
    <w:rsid w:val="00694ECC"/>
    <w:rsid w:val="006A1B3A"/>
    <w:rsid w:val="006B2C27"/>
    <w:rsid w:val="006D0A97"/>
    <w:rsid w:val="006E1D00"/>
    <w:rsid w:val="006F2875"/>
    <w:rsid w:val="006F4364"/>
    <w:rsid w:val="00705604"/>
    <w:rsid w:val="00707D4D"/>
    <w:rsid w:val="007149CB"/>
    <w:rsid w:val="007155E5"/>
    <w:rsid w:val="00720B0E"/>
    <w:rsid w:val="007233B8"/>
    <w:rsid w:val="00725C94"/>
    <w:rsid w:val="00725CD2"/>
    <w:rsid w:val="0072607B"/>
    <w:rsid w:val="00744A6F"/>
    <w:rsid w:val="00761CC5"/>
    <w:rsid w:val="0076326E"/>
    <w:rsid w:val="007740E1"/>
    <w:rsid w:val="00776174"/>
    <w:rsid w:val="0077670B"/>
    <w:rsid w:val="00777073"/>
    <w:rsid w:val="00780934"/>
    <w:rsid w:val="00787FE0"/>
    <w:rsid w:val="00793F8A"/>
    <w:rsid w:val="0079456D"/>
    <w:rsid w:val="007B3336"/>
    <w:rsid w:val="007B425B"/>
    <w:rsid w:val="007B5F20"/>
    <w:rsid w:val="007C19A7"/>
    <w:rsid w:val="007D4DAE"/>
    <w:rsid w:val="007D6DAC"/>
    <w:rsid w:val="007F1951"/>
    <w:rsid w:val="00811270"/>
    <w:rsid w:val="00827C44"/>
    <w:rsid w:val="00833EEE"/>
    <w:rsid w:val="0084082F"/>
    <w:rsid w:val="00846BA7"/>
    <w:rsid w:val="008516E8"/>
    <w:rsid w:val="00852BC7"/>
    <w:rsid w:val="008628BB"/>
    <w:rsid w:val="00866664"/>
    <w:rsid w:val="00871C47"/>
    <w:rsid w:val="00884BA4"/>
    <w:rsid w:val="00894EF0"/>
    <w:rsid w:val="008A6CC0"/>
    <w:rsid w:val="008B0F09"/>
    <w:rsid w:val="008B2FC8"/>
    <w:rsid w:val="008B7611"/>
    <w:rsid w:val="008C0849"/>
    <w:rsid w:val="008D360C"/>
    <w:rsid w:val="008D3F68"/>
    <w:rsid w:val="008D557F"/>
    <w:rsid w:val="008F04B2"/>
    <w:rsid w:val="008F5FA7"/>
    <w:rsid w:val="008F751F"/>
    <w:rsid w:val="00901F5E"/>
    <w:rsid w:val="00904973"/>
    <w:rsid w:val="0090528E"/>
    <w:rsid w:val="00906BD6"/>
    <w:rsid w:val="00916C4C"/>
    <w:rsid w:val="009207A1"/>
    <w:rsid w:val="00942834"/>
    <w:rsid w:val="00946907"/>
    <w:rsid w:val="009613AF"/>
    <w:rsid w:val="0098511F"/>
    <w:rsid w:val="00986E2A"/>
    <w:rsid w:val="009A4F66"/>
    <w:rsid w:val="009A7BFA"/>
    <w:rsid w:val="009C265E"/>
    <w:rsid w:val="009E7983"/>
    <w:rsid w:val="00A03545"/>
    <w:rsid w:val="00A04E62"/>
    <w:rsid w:val="00A20CCD"/>
    <w:rsid w:val="00A2383A"/>
    <w:rsid w:val="00A33284"/>
    <w:rsid w:val="00A34EEE"/>
    <w:rsid w:val="00A37B53"/>
    <w:rsid w:val="00A47225"/>
    <w:rsid w:val="00A51FFC"/>
    <w:rsid w:val="00A607E4"/>
    <w:rsid w:val="00A70EBE"/>
    <w:rsid w:val="00A77B53"/>
    <w:rsid w:val="00A80C64"/>
    <w:rsid w:val="00A810D8"/>
    <w:rsid w:val="00A84C38"/>
    <w:rsid w:val="00A94681"/>
    <w:rsid w:val="00AA3C5F"/>
    <w:rsid w:val="00AA6359"/>
    <w:rsid w:val="00AB358C"/>
    <w:rsid w:val="00AC63EA"/>
    <w:rsid w:val="00AC65BC"/>
    <w:rsid w:val="00AF123D"/>
    <w:rsid w:val="00AF221C"/>
    <w:rsid w:val="00AF71A4"/>
    <w:rsid w:val="00B06380"/>
    <w:rsid w:val="00B10407"/>
    <w:rsid w:val="00B164C1"/>
    <w:rsid w:val="00B23D0B"/>
    <w:rsid w:val="00B318E3"/>
    <w:rsid w:val="00B4679E"/>
    <w:rsid w:val="00B475DE"/>
    <w:rsid w:val="00B47CB5"/>
    <w:rsid w:val="00B506C3"/>
    <w:rsid w:val="00B51399"/>
    <w:rsid w:val="00B5659E"/>
    <w:rsid w:val="00B7643D"/>
    <w:rsid w:val="00B80C05"/>
    <w:rsid w:val="00B83E16"/>
    <w:rsid w:val="00B96D42"/>
    <w:rsid w:val="00BA4324"/>
    <w:rsid w:val="00BB3A20"/>
    <w:rsid w:val="00BB47AA"/>
    <w:rsid w:val="00BC1DB0"/>
    <w:rsid w:val="00BC45D4"/>
    <w:rsid w:val="00BD3BB8"/>
    <w:rsid w:val="00BE27CB"/>
    <w:rsid w:val="00BE2AF8"/>
    <w:rsid w:val="00BE5841"/>
    <w:rsid w:val="00BE5CEA"/>
    <w:rsid w:val="00BE6800"/>
    <w:rsid w:val="00C02AE5"/>
    <w:rsid w:val="00C10FCC"/>
    <w:rsid w:val="00C13446"/>
    <w:rsid w:val="00C17D3A"/>
    <w:rsid w:val="00C23ECE"/>
    <w:rsid w:val="00C271E4"/>
    <w:rsid w:val="00C30C42"/>
    <w:rsid w:val="00C4170E"/>
    <w:rsid w:val="00C424FE"/>
    <w:rsid w:val="00C43E2B"/>
    <w:rsid w:val="00C56B7C"/>
    <w:rsid w:val="00C67296"/>
    <w:rsid w:val="00C71A64"/>
    <w:rsid w:val="00C72309"/>
    <w:rsid w:val="00C74487"/>
    <w:rsid w:val="00C75766"/>
    <w:rsid w:val="00C967B6"/>
    <w:rsid w:val="00CA68DB"/>
    <w:rsid w:val="00CB2489"/>
    <w:rsid w:val="00CB2F1F"/>
    <w:rsid w:val="00CB669D"/>
    <w:rsid w:val="00CC6015"/>
    <w:rsid w:val="00CC7121"/>
    <w:rsid w:val="00CE01E8"/>
    <w:rsid w:val="00CF2111"/>
    <w:rsid w:val="00CF21B5"/>
    <w:rsid w:val="00CF5962"/>
    <w:rsid w:val="00D00796"/>
    <w:rsid w:val="00D0296F"/>
    <w:rsid w:val="00D26DA6"/>
    <w:rsid w:val="00D27514"/>
    <w:rsid w:val="00D27B51"/>
    <w:rsid w:val="00D31E6E"/>
    <w:rsid w:val="00D37658"/>
    <w:rsid w:val="00D4021B"/>
    <w:rsid w:val="00D52BB7"/>
    <w:rsid w:val="00D54570"/>
    <w:rsid w:val="00D56786"/>
    <w:rsid w:val="00D61A51"/>
    <w:rsid w:val="00D64088"/>
    <w:rsid w:val="00D65FAE"/>
    <w:rsid w:val="00D7334E"/>
    <w:rsid w:val="00D8749F"/>
    <w:rsid w:val="00D9292D"/>
    <w:rsid w:val="00DB61EA"/>
    <w:rsid w:val="00DB7DCD"/>
    <w:rsid w:val="00DC034C"/>
    <w:rsid w:val="00DC7572"/>
    <w:rsid w:val="00DE6968"/>
    <w:rsid w:val="00DF51FF"/>
    <w:rsid w:val="00E0227C"/>
    <w:rsid w:val="00E038FD"/>
    <w:rsid w:val="00E12F0B"/>
    <w:rsid w:val="00E21189"/>
    <w:rsid w:val="00E2299B"/>
    <w:rsid w:val="00E273CB"/>
    <w:rsid w:val="00E353B1"/>
    <w:rsid w:val="00E4447E"/>
    <w:rsid w:val="00E55193"/>
    <w:rsid w:val="00E55791"/>
    <w:rsid w:val="00E5620C"/>
    <w:rsid w:val="00EB01A7"/>
    <w:rsid w:val="00ED5324"/>
    <w:rsid w:val="00ED5EDC"/>
    <w:rsid w:val="00EE0D93"/>
    <w:rsid w:val="00EF3133"/>
    <w:rsid w:val="00EF329C"/>
    <w:rsid w:val="00EF49A3"/>
    <w:rsid w:val="00F0555C"/>
    <w:rsid w:val="00F203C6"/>
    <w:rsid w:val="00F21440"/>
    <w:rsid w:val="00F2797A"/>
    <w:rsid w:val="00F47AD5"/>
    <w:rsid w:val="00F51CA0"/>
    <w:rsid w:val="00F52E52"/>
    <w:rsid w:val="00F57A3C"/>
    <w:rsid w:val="00F60E0F"/>
    <w:rsid w:val="00F734C8"/>
    <w:rsid w:val="00F770B2"/>
    <w:rsid w:val="00F771C5"/>
    <w:rsid w:val="00FA374F"/>
    <w:rsid w:val="00FB0868"/>
    <w:rsid w:val="00FB2232"/>
    <w:rsid w:val="00FB449C"/>
    <w:rsid w:val="00FC1BD3"/>
    <w:rsid w:val="00FC70F0"/>
    <w:rsid w:val="00FD0BB5"/>
    <w:rsid w:val="00FD145D"/>
    <w:rsid w:val="00FD4B5B"/>
    <w:rsid w:val="00FE496B"/>
    <w:rsid w:val="00FF082F"/>
    <w:rsid w:val="00FF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18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">
    <w:name w:val="H2"/>
    <w:basedOn w:val="Heading3"/>
    <w:rsid w:val="006418AB"/>
    <w:pPr>
      <w:keepLines w:val="0"/>
      <w:spacing w:before="240" w:after="100"/>
      <w:ind w:right="504"/>
      <w:outlineLvl w:val="0"/>
    </w:pPr>
    <w:rPr>
      <w:rFonts w:ascii="Helvetica" w:eastAsia="Times New Roman" w:hAnsi="Helvetica" w:cs="Times New Roman"/>
      <w:b/>
      <w:bCs/>
      <w:color w:val="auto"/>
      <w:szCs w:val="22"/>
    </w:rPr>
  </w:style>
  <w:style w:type="paragraph" w:customStyle="1" w:styleId="T1">
    <w:name w:val="T1"/>
    <w:basedOn w:val="Normal"/>
    <w:rsid w:val="006418AB"/>
    <w:pPr>
      <w:keepNext/>
    </w:pPr>
    <w:rPr>
      <w:rFonts w:ascii="Times" w:hAnsi="Times"/>
      <w:sz w:val="22"/>
    </w:rPr>
  </w:style>
  <w:style w:type="paragraph" w:customStyle="1" w:styleId="awTBfig">
    <w:name w:val="awTB_fig"/>
    <w:basedOn w:val="Normal"/>
    <w:next w:val="Normal"/>
    <w:rsid w:val="006418AB"/>
    <w:pPr>
      <w:keepNext/>
      <w:keepLines/>
      <w:spacing w:before="200" w:after="40"/>
      <w:ind w:left="389"/>
      <w:outlineLvl w:val="1"/>
    </w:pPr>
    <w:rPr>
      <w:rFonts w:ascii="Times" w:hAnsi="Times"/>
      <w:snapToGrid w:val="0"/>
      <w:sz w:val="22"/>
    </w:rPr>
  </w:style>
  <w:style w:type="paragraph" w:customStyle="1" w:styleId="awTB01questionHead">
    <w:name w:val="awTB_01_questionHead"/>
    <w:basedOn w:val="Normal"/>
    <w:rsid w:val="006418AB"/>
    <w:pPr>
      <w:keepNext/>
      <w:keepLines/>
      <w:spacing w:before="360" w:after="200"/>
      <w:outlineLvl w:val="1"/>
    </w:pPr>
    <w:rPr>
      <w:rFonts w:ascii="Helvetica" w:hAnsi="Helvetica"/>
      <w:b/>
      <w:sz w:val="28"/>
    </w:rPr>
  </w:style>
  <w:style w:type="paragraph" w:customStyle="1" w:styleId="awTB00chTitle">
    <w:name w:val="awTB_00_chTitle"/>
    <w:basedOn w:val="Normal"/>
    <w:next w:val="Normal"/>
    <w:rsid w:val="006418AB"/>
    <w:pPr>
      <w:keepLines/>
      <w:spacing w:before="1440" w:after="720"/>
      <w:outlineLvl w:val="0"/>
    </w:pPr>
    <w:rPr>
      <w:rFonts w:ascii="Times" w:hAnsi="Times"/>
      <w:b/>
      <w:sz w:val="36"/>
    </w:rPr>
  </w:style>
  <w:style w:type="paragraph" w:styleId="Footer">
    <w:name w:val="footer"/>
    <w:basedOn w:val="Normal"/>
    <w:link w:val="FooterChar"/>
    <w:semiHidden/>
    <w:rsid w:val="006418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6418AB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semiHidden/>
    <w:rsid w:val="006418AB"/>
  </w:style>
  <w:style w:type="paragraph" w:customStyle="1" w:styleId="VersoHeader">
    <w:name w:val="Verso Header"/>
    <w:rsid w:val="006418AB"/>
    <w:pPr>
      <w:pBdr>
        <w:bottom w:val="single" w:sz="4" w:space="2" w:color="auto"/>
      </w:pBdr>
      <w:spacing w:after="360" w:line="240" w:lineRule="auto"/>
    </w:pPr>
    <w:rPr>
      <w:rFonts w:ascii="Times" w:eastAsia="Times New Roman" w:hAnsi="Times" w:cs="Times New Roman"/>
      <w:sz w:val="18"/>
      <w:szCs w:val="20"/>
    </w:rPr>
  </w:style>
  <w:style w:type="paragraph" w:customStyle="1" w:styleId="RectoHeader">
    <w:name w:val="Recto Header"/>
    <w:rsid w:val="006418AB"/>
    <w:pPr>
      <w:pBdr>
        <w:bottom w:val="single" w:sz="4" w:space="2" w:color="auto"/>
      </w:pBdr>
      <w:spacing w:after="360" w:line="240" w:lineRule="auto"/>
      <w:jc w:val="right"/>
    </w:pPr>
    <w:rPr>
      <w:rFonts w:ascii="Times" w:eastAsia="Times" w:hAnsi="Times" w:cs="Times New Roman"/>
      <w:noProof/>
      <w:sz w:val="18"/>
      <w:szCs w:val="20"/>
    </w:rPr>
  </w:style>
  <w:style w:type="paragraph" w:customStyle="1" w:styleId="MCQList1">
    <w:name w:val="MCQ_List1"/>
    <w:basedOn w:val="Normal"/>
    <w:rsid w:val="006418AB"/>
    <w:pPr>
      <w:keepNext/>
      <w:keepLines/>
      <w:tabs>
        <w:tab w:val="right" w:pos="274"/>
        <w:tab w:val="left" w:pos="446"/>
      </w:tabs>
      <w:spacing w:before="200" w:after="60"/>
      <w:ind w:left="450" w:hanging="450"/>
      <w:outlineLvl w:val="2"/>
    </w:pPr>
    <w:rPr>
      <w:rFonts w:ascii="Times" w:hAnsi="Times"/>
      <w:snapToGrid w:val="0"/>
      <w:sz w:val="22"/>
    </w:rPr>
  </w:style>
  <w:style w:type="paragraph" w:customStyle="1" w:styleId="MCQList2">
    <w:name w:val="MCQ_List2"/>
    <w:basedOn w:val="Normal"/>
    <w:rsid w:val="006418AB"/>
    <w:pPr>
      <w:keepNext/>
      <w:keepLines/>
      <w:spacing w:after="40"/>
      <w:ind w:left="1125" w:hanging="369"/>
      <w:outlineLvl w:val="2"/>
    </w:pPr>
    <w:rPr>
      <w:rFonts w:ascii="Times" w:hAnsi="Times"/>
      <w:snapToGrid w:val="0"/>
      <w:sz w:val="22"/>
    </w:rPr>
  </w:style>
  <w:style w:type="paragraph" w:customStyle="1" w:styleId="MCQAns2">
    <w:name w:val="MCQ_Ans2"/>
    <w:basedOn w:val="Normal"/>
    <w:rsid w:val="006418AB"/>
    <w:pPr>
      <w:keepNext/>
      <w:keepLines/>
      <w:tabs>
        <w:tab w:val="left" w:pos="1483"/>
      </w:tabs>
      <w:spacing w:before="120" w:after="80"/>
      <w:ind w:left="1008" w:hanging="1008"/>
      <w:outlineLvl w:val="2"/>
    </w:pPr>
    <w:rPr>
      <w:rFonts w:ascii="Times" w:hAnsi="Times"/>
      <w:b/>
      <w:bCs/>
      <w:snapToGrid w:val="0"/>
      <w:sz w:val="22"/>
    </w:rPr>
  </w:style>
  <w:style w:type="paragraph" w:customStyle="1" w:styleId="MCQList2Sub">
    <w:name w:val="MCQ_List2_Sub"/>
    <w:basedOn w:val="MCQList2"/>
    <w:rsid w:val="006418AB"/>
    <w:pPr>
      <w:tabs>
        <w:tab w:val="left" w:pos="3879"/>
      </w:tabs>
      <w:ind w:firstLine="1299"/>
    </w:pPr>
  </w:style>
  <w:style w:type="paragraph" w:customStyle="1" w:styleId="MCQList2ind">
    <w:name w:val="MCQ_List2_ind"/>
    <w:basedOn w:val="MCQList2"/>
    <w:rsid w:val="006418AB"/>
    <w:pPr>
      <w:tabs>
        <w:tab w:val="left" w:pos="2160"/>
        <w:tab w:val="left" w:pos="3879"/>
      </w:tabs>
      <w:spacing w:before="200"/>
      <w:ind w:left="821" w:firstLine="0"/>
    </w:pPr>
    <w:rPr>
      <w:b/>
      <w:bCs/>
    </w:rPr>
  </w:style>
  <w:style w:type="paragraph" w:customStyle="1" w:styleId="MCQList2ind1">
    <w:name w:val="MCQ_List2_ind1"/>
    <w:basedOn w:val="MCQList2"/>
    <w:rsid w:val="006418AB"/>
    <w:pPr>
      <w:ind w:firstLine="3054"/>
    </w:pPr>
  </w:style>
  <w:style w:type="paragraph" w:customStyle="1" w:styleId="MCQList1-Wup">
    <w:name w:val="MCQ_List1-Wup"/>
    <w:basedOn w:val="Normal"/>
    <w:rsid w:val="006418AB"/>
    <w:pPr>
      <w:keepNext/>
      <w:keepLines/>
      <w:tabs>
        <w:tab w:val="left" w:pos="750"/>
      </w:tabs>
      <w:spacing w:before="200" w:after="60"/>
      <w:ind w:left="749" w:hanging="749"/>
      <w:outlineLvl w:val="2"/>
    </w:pPr>
    <w:rPr>
      <w:rFonts w:ascii="Times" w:hAnsi="Times"/>
      <w:snapToGrid w:val="0"/>
      <w:sz w:val="22"/>
    </w:rPr>
  </w:style>
  <w:style w:type="paragraph" w:customStyle="1" w:styleId="T2">
    <w:name w:val="T2"/>
    <w:basedOn w:val="T1"/>
    <w:rsid w:val="006418AB"/>
    <w:pPr>
      <w:spacing w:before="200"/>
    </w:pPr>
  </w:style>
  <w:style w:type="paragraph" w:customStyle="1" w:styleId="MCQList2a">
    <w:name w:val="MCQ_List2a"/>
    <w:basedOn w:val="MCQList2"/>
    <w:rsid w:val="006418AB"/>
    <w:pPr>
      <w:ind w:left="1350" w:hanging="351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418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74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44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25C94"/>
    <w:rPr>
      <w:strike w:val="0"/>
      <w:dstrike w:val="0"/>
      <w:color w:val="005B9D"/>
      <w:u w:val="none"/>
      <w:effect w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25C"/>
    <w:rPr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2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wTBfigCap">
    <w:name w:val="awTB_figCap"/>
    <w:basedOn w:val="Normal"/>
    <w:rsid w:val="003F6EBA"/>
    <w:pPr>
      <w:keepNext/>
      <w:keepLines/>
      <w:spacing w:before="40" w:after="40"/>
      <w:ind w:left="387"/>
      <w:outlineLvl w:val="1"/>
    </w:pPr>
    <w:rPr>
      <w:rFonts w:ascii="Times" w:hAnsi="Times"/>
      <w:i/>
      <w:snapToGrid w:val="0"/>
      <w:sz w:val="22"/>
    </w:rPr>
  </w:style>
  <w:style w:type="paragraph" w:styleId="ListParagraph">
    <w:name w:val="List Paragraph"/>
    <w:basedOn w:val="Normal"/>
    <w:uiPriority w:val="34"/>
    <w:qFormat/>
    <w:rsid w:val="000F18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3E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54A5A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A5A"/>
    <w:rPr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A5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18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">
    <w:name w:val="H2"/>
    <w:basedOn w:val="Heading3"/>
    <w:rsid w:val="006418AB"/>
    <w:pPr>
      <w:keepLines w:val="0"/>
      <w:spacing w:before="240" w:after="100"/>
      <w:ind w:right="504"/>
      <w:outlineLvl w:val="0"/>
    </w:pPr>
    <w:rPr>
      <w:rFonts w:ascii="Helvetica" w:eastAsia="Times New Roman" w:hAnsi="Helvetica" w:cs="Times New Roman"/>
      <w:b/>
      <w:bCs/>
      <w:color w:val="auto"/>
      <w:szCs w:val="22"/>
    </w:rPr>
  </w:style>
  <w:style w:type="paragraph" w:customStyle="1" w:styleId="T1">
    <w:name w:val="T1"/>
    <w:basedOn w:val="Normal"/>
    <w:rsid w:val="006418AB"/>
    <w:pPr>
      <w:keepNext/>
    </w:pPr>
    <w:rPr>
      <w:rFonts w:ascii="Times" w:hAnsi="Times"/>
      <w:sz w:val="22"/>
    </w:rPr>
  </w:style>
  <w:style w:type="paragraph" w:customStyle="1" w:styleId="awTBfig">
    <w:name w:val="awTB_fig"/>
    <w:basedOn w:val="Normal"/>
    <w:next w:val="Normal"/>
    <w:rsid w:val="006418AB"/>
    <w:pPr>
      <w:keepNext/>
      <w:keepLines/>
      <w:spacing w:before="200" w:after="40"/>
      <w:ind w:left="389"/>
      <w:outlineLvl w:val="1"/>
    </w:pPr>
    <w:rPr>
      <w:rFonts w:ascii="Times" w:hAnsi="Times"/>
      <w:snapToGrid w:val="0"/>
      <w:sz w:val="22"/>
    </w:rPr>
  </w:style>
  <w:style w:type="paragraph" w:customStyle="1" w:styleId="awTB01questionHead">
    <w:name w:val="awTB_01_questionHead"/>
    <w:basedOn w:val="Normal"/>
    <w:rsid w:val="006418AB"/>
    <w:pPr>
      <w:keepNext/>
      <w:keepLines/>
      <w:spacing w:before="360" w:after="200"/>
      <w:outlineLvl w:val="1"/>
    </w:pPr>
    <w:rPr>
      <w:rFonts w:ascii="Helvetica" w:hAnsi="Helvetica"/>
      <w:b/>
      <w:sz w:val="28"/>
    </w:rPr>
  </w:style>
  <w:style w:type="paragraph" w:customStyle="1" w:styleId="awTB00chTitle">
    <w:name w:val="awTB_00_chTitle"/>
    <w:basedOn w:val="Normal"/>
    <w:next w:val="Normal"/>
    <w:rsid w:val="006418AB"/>
    <w:pPr>
      <w:keepLines/>
      <w:spacing w:before="1440" w:after="720"/>
      <w:outlineLvl w:val="0"/>
    </w:pPr>
    <w:rPr>
      <w:rFonts w:ascii="Times" w:hAnsi="Times"/>
      <w:b/>
      <w:sz w:val="36"/>
    </w:rPr>
  </w:style>
  <w:style w:type="paragraph" w:styleId="Footer">
    <w:name w:val="footer"/>
    <w:basedOn w:val="Normal"/>
    <w:link w:val="FooterChar"/>
    <w:semiHidden/>
    <w:rsid w:val="006418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6418AB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semiHidden/>
    <w:rsid w:val="006418AB"/>
  </w:style>
  <w:style w:type="paragraph" w:customStyle="1" w:styleId="VersoHeader">
    <w:name w:val="Verso Header"/>
    <w:rsid w:val="006418AB"/>
    <w:pPr>
      <w:pBdr>
        <w:bottom w:val="single" w:sz="4" w:space="2" w:color="auto"/>
      </w:pBdr>
      <w:spacing w:after="360" w:line="240" w:lineRule="auto"/>
    </w:pPr>
    <w:rPr>
      <w:rFonts w:ascii="Times" w:eastAsia="Times New Roman" w:hAnsi="Times" w:cs="Times New Roman"/>
      <w:sz w:val="18"/>
      <w:szCs w:val="20"/>
    </w:rPr>
  </w:style>
  <w:style w:type="paragraph" w:customStyle="1" w:styleId="RectoHeader">
    <w:name w:val="Recto Header"/>
    <w:rsid w:val="006418AB"/>
    <w:pPr>
      <w:pBdr>
        <w:bottom w:val="single" w:sz="4" w:space="2" w:color="auto"/>
      </w:pBdr>
      <w:spacing w:after="360" w:line="240" w:lineRule="auto"/>
      <w:jc w:val="right"/>
    </w:pPr>
    <w:rPr>
      <w:rFonts w:ascii="Times" w:eastAsia="Times" w:hAnsi="Times" w:cs="Times New Roman"/>
      <w:noProof/>
      <w:sz w:val="18"/>
      <w:szCs w:val="20"/>
    </w:rPr>
  </w:style>
  <w:style w:type="paragraph" w:customStyle="1" w:styleId="MCQList1">
    <w:name w:val="MCQ_List1"/>
    <w:basedOn w:val="Normal"/>
    <w:rsid w:val="006418AB"/>
    <w:pPr>
      <w:keepNext/>
      <w:keepLines/>
      <w:tabs>
        <w:tab w:val="right" w:pos="274"/>
        <w:tab w:val="left" w:pos="446"/>
      </w:tabs>
      <w:spacing w:before="200" w:after="60"/>
      <w:ind w:left="450" w:hanging="450"/>
      <w:outlineLvl w:val="2"/>
    </w:pPr>
    <w:rPr>
      <w:rFonts w:ascii="Times" w:hAnsi="Times"/>
      <w:snapToGrid w:val="0"/>
      <w:sz w:val="22"/>
    </w:rPr>
  </w:style>
  <w:style w:type="paragraph" w:customStyle="1" w:styleId="MCQList2">
    <w:name w:val="MCQ_List2"/>
    <w:basedOn w:val="Normal"/>
    <w:rsid w:val="006418AB"/>
    <w:pPr>
      <w:keepNext/>
      <w:keepLines/>
      <w:spacing w:after="40"/>
      <w:ind w:left="1125" w:hanging="369"/>
      <w:outlineLvl w:val="2"/>
    </w:pPr>
    <w:rPr>
      <w:rFonts w:ascii="Times" w:hAnsi="Times"/>
      <w:snapToGrid w:val="0"/>
      <w:sz w:val="22"/>
    </w:rPr>
  </w:style>
  <w:style w:type="paragraph" w:customStyle="1" w:styleId="MCQAns2">
    <w:name w:val="MCQ_Ans2"/>
    <w:basedOn w:val="Normal"/>
    <w:rsid w:val="006418AB"/>
    <w:pPr>
      <w:keepNext/>
      <w:keepLines/>
      <w:tabs>
        <w:tab w:val="left" w:pos="1483"/>
      </w:tabs>
      <w:spacing w:before="120" w:after="80"/>
      <w:ind w:left="1008" w:hanging="1008"/>
      <w:outlineLvl w:val="2"/>
    </w:pPr>
    <w:rPr>
      <w:rFonts w:ascii="Times" w:hAnsi="Times"/>
      <w:b/>
      <w:bCs/>
      <w:snapToGrid w:val="0"/>
      <w:sz w:val="22"/>
    </w:rPr>
  </w:style>
  <w:style w:type="paragraph" w:customStyle="1" w:styleId="MCQList2Sub">
    <w:name w:val="MCQ_List2_Sub"/>
    <w:basedOn w:val="MCQList2"/>
    <w:rsid w:val="006418AB"/>
    <w:pPr>
      <w:tabs>
        <w:tab w:val="left" w:pos="3879"/>
      </w:tabs>
      <w:ind w:firstLine="1299"/>
    </w:pPr>
  </w:style>
  <w:style w:type="paragraph" w:customStyle="1" w:styleId="MCQList2ind">
    <w:name w:val="MCQ_List2_ind"/>
    <w:basedOn w:val="MCQList2"/>
    <w:rsid w:val="006418AB"/>
    <w:pPr>
      <w:tabs>
        <w:tab w:val="left" w:pos="2160"/>
        <w:tab w:val="left" w:pos="3879"/>
      </w:tabs>
      <w:spacing w:before="200"/>
      <w:ind w:left="821" w:firstLine="0"/>
    </w:pPr>
    <w:rPr>
      <w:b/>
      <w:bCs/>
    </w:rPr>
  </w:style>
  <w:style w:type="paragraph" w:customStyle="1" w:styleId="MCQList2ind1">
    <w:name w:val="MCQ_List2_ind1"/>
    <w:basedOn w:val="MCQList2"/>
    <w:rsid w:val="006418AB"/>
    <w:pPr>
      <w:ind w:firstLine="3054"/>
    </w:pPr>
  </w:style>
  <w:style w:type="paragraph" w:customStyle="1" w:styleId="MCQList1-Wup">
    <w:name w:val="MCQ_List1-Wup"/>
    <w:basedOn w:val="Normal"/>
    <w:rsid w:val="006418AB"/>
    <w:pPr>
      <w:keepNext/>
      <w:keepLines/>
      <w:tabs>
        <w:tab w:val="left" w:pos="750"/>
      </w:tabs>
      <w:spacing w:before="200" w:after="60"/>
      <w:ind w:left="749" w:hanging="749"/>
      <w:outlineLvl w:val="2"/>
    </w:pPr>
    <w:rPr>
      <w:rFonts w:ascii="Times" w:hAnsi="Times"/>
      <w:snapToGrid w:val="0"/>
      <w:sz w:val="22"/>
    </w:rPr>
  </w:style>
  <w:style w:type="paragraph" w:customStyle="1" w:styleId="T2">
    <w:name w:val="T2"/>
    <w:basedOn w:val="T1"/>
    <w:rsid w:val="006418AB"/>
    <w:pPr>
      <w:spacing w:before="200"/>
    </w:pPr>
  </w:style>
  <w:style w:type="paragraph" w:customStyle="1" w:styleId="MCQList2a">
    <w:name w:val="MCQ_List2a"/>
    <w:basedOn w:val="MCQList2"/>
    <w:rsid w:val="006418AB"/>
    <w:pPr>
      <w:ind w:left="1350" w:hanging="351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418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74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44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25C94"/>
    <w:rPr>
      <w:strike w:val="0"/>
      <w:dstrike w:val="0"/>
      <w:color w:val="005B9D"/>
      <w:u w:val="none"/>
      <w:effect w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25C"/>
    <w:rPr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2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wTBfigCap">
    <w:name w:val="awTB_figCap"/>
    <w:basedOn w:val="Normal"/>
    <w:rsid w:val="003F6EBA"/>
    <w:pPr>
      <w:keepNext/>
      <w:keepLines/>
      <w:spacing w:before="40" w:after="40"/>
      <w:ind w:left="387"/>
      <w:outlineLvl w:val="1"/>
    </w:pPr>
    <w:rPr>
      <w:rFonts w:ascii="Times" w:hAnsi="Times"/>
      <w:i/>
      <w:snapToGrid w:val="0"/>
      <w:sz w:val="22"/>
    </w:rPr>
  </w:style>
  <w:style w:type="paragraph" w:styleId="ListParagraph">
    <w:name w:val="List Paragraph"/>
    <w:basedOn w:val="Normal"/>
    <w:uiPriority w:val="34"/>
    <w:qFormat/>
    <w:rsid w:val="000F18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3E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54A5A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A5A"/>
    <w:rPr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A5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earson.com/mylab/financ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arson.com/mylab/financ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tif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investopedia.com/terms/l/legal-tender.asp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9EBFC-7AB8-4DB1-9E69-55142A264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4408</Words>
  <Characters>25127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NCUA</Company>
  <LinksUpToDate>false</LinksUpToDate>
  <CharactersWithSpaces>29477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Vaughan, Mark D</dc:creator>
  <cp:keywords/>
  <dc:description/>
  <cp:lastModifiedBy>Sheryl Nelson</cp:lastModifiedBy>
  <cp:revision>8</cp:revision>
  <cp:lastPrinted>2018-03-20T18:14:00Z</cp:lastPrinted>
  <dcterms:created xsi:type="dcterms:W3CDTF">2018-07-17T20:35:00Z</dcterms:created>
  <dcterms:modified xsi:type="dcterms:W3CDTF">2018-07-30T15:21:00Z</dcterms:modified>
</cp:coreProperties>
</file>